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A9BF4D5" w14:textId="33528B2F" w:rsidR="00505D94" w:rsidRPr="00121EBB" w:rsidRDefault="00121EBB" w:rsidP="004B77CB">
      <w:pPr>
        <w:spacing w:line="360" w:lineRule="auto"/>
        <w:jc w:val="center"/>
        <w:rPr>
          <w:rFonts w:ascii="Times New Roman" w:hAnsi="Times New Roman" w:cs="Times New Roman"/>
          <w:b/>
          <w:bCs/>
          <w:sz w:val="32"/>
          <w:szCs w:val="24"/>
        </w:rPr>
      </w:pPr>
      <w:r w:rsidRPr="00121EBB">
        <w:rPr>
          <w:rFonts w:ascii="Times New Roman" w:hAnsi="Times New Roman" w:cs="Times New Roman"/>
          <w:b/>
          <w:bCs/>
          <w:sz w:val="32"/>
          <w:szCs w:val="24"/>
        </w:rPr>
        <w:t>BRIDGING THE GAP: ROLE OF COMMUNITY HEALTH NURS</w:t>
      </w:r>
      <w:r w:rsidR="000B4A3F">
        <w:rPr>
          <w:rFonts w:ascii="Times New Roman" w:hAnsi="Times New Roman" w:cs="Times New Roman"/>
          <w:b/>
          <w:bCs/>
          <w:sz w:val="32"/>
          <w:szCs w:val="24"/>
        </w:rPr>
        <w:t>ES</w:t>
      </w:r>
      <w:r w:rsidRPr="00121EBB">
        <w:rPr>
          <w:rFonts w:ascii="Times New Roman" w:hAnsi="Times New Roman" w:cs="Times New Roman"/>
          <w:b/>
          <w:bCs/>
          <w:sz w:val="32"/>
          <w:szCs w:val="24"/>
        </w:rPr>
        <w:t xml:space="preserve"> IN EARLY DETECTION AND MANAGEMENT OF INFERTILITY IN RURAL POPULATIONS</w:t>
      </w:r>
    </w:p>
    <w:p w14:paraId="7F29D33A" w14:textId="00B25289" w:rsidR="00121EBB" w:rsidRPr="00121EBB" w:rsidRDefault="00121EBB" w:rsidP="004B77CB">
      <w:pPr>
        <w:spacing w:line="360" w:lineRule="auto"/>
        <w:jc w:val="center"/>
        <w:rPr>
          <w:rFonts w:ascii="Times New Roman" w:hAnsi="Times New Roman" w:cs="Times New Roman"/>
          <w:b/>
          <w:bCs/>
          <w:sz w:val="26"/>
          <w:szCs w:val="26"/>
        </w:rPr>
      </w:pPr>
      <w:r w:rsidRPr="00121EBB">
        <w:rPr>
          <w:rFonts w:ascii="Times New Roman" w:hAnsi="Times New Roman" w:cs="Times New Roman"/>
          <w:b/>
          <w:bCs/>
          <w:sz w:val="26"/>
          <w:szCs w:val="26"/>
        </w:rPr>
        <w:t>Prof</w:t>
      </w:r>
      <w:r w:rsidR="000B4A3F">
        <w:rPr>
          <w:rFonts w:ascii="Times New Roman" w:hAnsi="Times New Roman" w:cs="Times New Roman"/>
          <w:b/>
          <w:bCs/>
          <w:sz w:val="26"/>
          <w:szCs w:val="26"/>
        </w:rPr>
        <w:t>.</w:t>
      </w:r>
      <w:r w:rsidRPr="00121EBB">
        <w:rPr>
          <w:rFonts w:ascii="Times New Roman" w:hAnsi="Times New Roman" w:cs="Times New Roman"/>
          <w:b/>
          <w:bCs/>
          <w:sz w:val="26"/>
          <w:szCs w:val="26"/>
        </w:rPr>
        <w:t xml:space="preserve"> Heera Mani</w:t>
      </w:r>
      <w:r w:rsidRPr="00121EBB">
        <w:rPr>
          <w:rFonts w:ascii="Times New Roman" w:hAnsi="Times New Roman" w:cs="Times New Roman"/>
          <w:b/>
          <w:bCs/>
          <w:sz w:val="26"/>
          <w:szCs w:val="26"/>
          <w:vertAlign w:val="superscript"/>
        </w:rPr>
        <w:t>1*</w:t>
      </w:r>
    </w:p>
    <w:p w14:paraId="3AEE7D9A" w14:textId="448EF517" w:rsidR="00505D94" w:rsidRDefault="00121EBB" w:rsidP="004B77CB">
      <w:pPr>
        <w:spacing w:line="360" w:lineRule="auto"/>
        <w:jc w:val="center"/>
        <w:rPr>
          <w:rFonts w:ascii="Times New Roman" w:hAnsi="Times New Roman" w:cs="Times New Roman"/>
          <w:bCs/>
          <w:sz w:val="24"/>
          <w:szCs w:val="24"/>
        </w:rPr>
      </w:pPr>
      <w:r w:rsidRPr="00121EBB">
        <w:rPr>
          <w:rFonts w:ascii="Times New Roman" w:hAnsi="Times New Roman" w:cs="Times New Roman"/>
          <w:bCs/>
          <w:sz w:val="24"/>
          <w:szCs w:val="24"/>
          <w:vertAlign w:val="superscript"/>
        </w:rPr>
        <w:t>1*</w:t>
      </w:r>
      <w:r w:rsidRPr="00121EBB">
        <w:rPr>
          <w:rFonts w:ascii="Times New Roman" w:hAnsi="Times New Roman" w:cs="Times New Roman"/>
          <w:bCs/>
          <w:sz w:val="24"/>
          <w:szCs w:val="24"/>
        </w:rPr>
        <w:t>Professor, Swift Institute of Nursing, Rajpura, Punjab (*Corresponding Author)</w:t>
      </w:r>
    </w:p>
    <w:p w14:paraId="62D58E93" w14:textId="41774FF7" w:rsidR="00FB67E1" w:rsidRPr="00121EBB" w:rsidRDefault="00FB67E1" w:rsidP="004B77CB">
      <w:pPr>
        <w:spacing w:line="360" w:lineRule="auto"/>
        <w:jc w:val="center"/>
        <w:rPr>
          <w:rFonts w:ascii="Times New Roman" w:hAnsi="Times New Roman" w:cs="Times New Roman"/>
          <w:bCs/>
          <w:sz w:val="24"/>
          <w:szCs w:val="24"/>
        </w:rPr>
      </w:pPr>
      <w:bookmarkStart w:id="0" w:name="_GoBack"/>
      <w:r>
        <w:rPr>
          <w:rFonts w:ascii="Times New Roman" w:hAnsi="Times New Roman" w:cs="Times New Roman"/>
          <w:bCs/>
          <w:sz w:val="24"/>
          <w:szCs w:val="24"/>
        </w:rPr>
        <w:t xml:space="preserve">DOI: </w:t>
      </w:r>
      <w:r>
        <w:rPr>
          <w:rFonts w:ascii="Helvetica" w:hAnsi="Helvetica"/>
          <w:b/>
          <w:bCs/>
          <w:sz w:val="20"/>
          <w:szCs w:val="20"/>
          <w:shd w:val="clear" w:color="auto" w:fill="FFFFFF"/>
        </w:rPr>
        <w:t>10.5281/zenodo.19847411</w:t>
      </w:r>
    </w:p>
    <w:bookmarkEnd w:id="0"/>
    <w:p w14:paraId="2E2A4D55" w14:textId="03FA7887" w:rsidR="00505D94" w:rsidRPr="00061FBB" w:rsidRDefault="00505D94" w:rsidP="004B77CB">
      <w:pPr>
        <w:spacing w:line="360" w:lineRule="auto"/>
        <w:rPr>
          <w:rFonts w:ascii="Times New Roman" w:hAnsi="Times New Roman" w:cs="Times New Roman"/>
          <w:b/>
          <w:bCs/>
          <w:sz w:val="24"/>
          <w:szCs w:val="24"/>
        </w:rPr>
      </w:pPr>
      <w:r w:rsidRPr="00061FBB">
        <w:rPr>
          <w:rFonts w:ascii="Times New Roman" w:hAnsi="Times New Roman" w:cs="Times New Roman"/>
          <w:b/>
          <w:bCs/>
          <w:sz w:val="24"/>
          <w:szCs w:val="24"/>
        </w:rPr>
        <w:t xml:space="preserve">Abstract </w:t>
      </w:r>
    </w:p>
    <w:p w14:paraId="36F6839D" w14:textId="7DD0556E" w:rsidR="0010259B" w:rsidRPr="00061FBB" w:rsidRDefault="00505D94" w:rsidP="004B77CB">
      <w:pPr>
        <w:spacing w:line="360" w:lineRule="auto"/>
        <w:jc w:val="both"/>
        <w:rPr>
          <w:rFonts w:ascii="Times New Roman" w:hAnsi="Times New Roman" w:cs="Times New Roman"/>
          <w:sz w:val="24"/>
          <w:szCs w:val="24"/>
        </w:rPr>
      </w:pPr>
      <w:r w:rsidRPr="00061FBB">
        <w:rPr>
          <w:rFonts w:ascii="Times New Roman" w:hAnsi="Times New Roman" w:cs="Times New Roman"/>
          <w:sz w:val="24"/>
          <w:szCs w:val="24"/>
        </w:rPr>
        <w:t xml:space="preserve">Infertility is a major reproductive health concern affecting approximately 10–15% of couples worldwide, with rural populations experiencing a disproportionate burden due to limited healthcare access, </w:t>
      </w:r>
      <w:proofErr w:type="spellStart"/>
      <w:r w:rsidRPr="00061FBB">
        <w:rPr>
          <w:rFonts w:ascii="Times New Roman" w:hAnsi="Times New Roman" w:cs="Times New Roman"/>
          <w:sz w:val="24"/>
          <w:szCs w:val="24"/>
        </w:rPr>
        <w:t>sociocultur</w:t>
      </w:r>
      <w:r w:rsidR="00121EBB">
        <w:rPr>
          <w:rFonts w:ascii="Times New Roman" w:hAnsi="Times New Roman" w:cs="Times New Roman"/>
          <w:sz w:val="24"/>
          <w:szCs w:val="24"/>
        </w:rPr>
        <w:t>S</w:t>
      </w:r>
      <w:r w:rsidRPr="00061FBB">
        <w:rPr>
          <w:rFonts w:ascii="Times New Roman" w:hAnsi="Times New Roman" w:cs="Times New Roman"/>
          <w:sz w:val="24"/>
          <w:szCs w:val="24"/>
        </w:rPr>
        <w:t>al</w:t>
      </w:r>
      <w:proofErr w:type="spellEnd"/>
      <w:r w:rsidRPr="00061FBB">
        <w:rPr>
          <w:rFonts w:ascii="Times New Roman" w:hAnsi="Times New Roman" w:cs="Times New Roman"/>
          <w:sz w:val="24"/>
          <w:szCs w:val="24"/>
        </w:rPr>
        <w:t xml:space="preserve"> stigma, and lack of awareness. Community health nursing plays a vital role in bridging this gap by facilitating early detection, prevention, and management of infertility through community-based interventions. This article examines the multidimensional role of community health nurses, including screening, health education, counseling, referral, and follow-up care in rural settings. It further explores barriers such as myths, gender bias, financial limitations, and inadequate infrastructure that delay diagnosis and treatment. The findings suggest that strengthening community health nursing services and integrating infertility care into primary healthcare systems can significantly improve reproductive health outcomes. </w:t>
      </w:r>
    </w:p>
    <w:p w14:paraId="421F9014" w14:textId="07C2456E" w:rsidR="0010259B" w:rsidRPr="00061FBB" w:rsidRDefault="00505D94" w:rsidP="004B77CB">
      <w:pPr>
        <w:spacing w:line="360" w:lineRule="auto"/>
        <w:jc w:val="both"/>
        <w:rPr>
          <w:rFonts w:ascii="Times New Roman" w:hAnsi="Times New Roman" w:cs="Times New Roman"/>
          <w:sz w:val="24"/>
          <w:szCs w:val="24"/>
        </w:rPr>
      </w:pPr>
      <w:r w:rsidRPr="00061FBB">
        <w:rPr>
          <w:rFonts w:ascii="Times New Roman" w:hAnsi="Times New Roman" w:cs="Times New Roman"/>
          <w:b/>
          <w:bCs/>
          <w:sz w:val="24"/>
          <w:szCs w:val="24"/>
        </w:rPr>
        <w:t>Keywords:</w:t>
      </w:r>
      <w:r w:rsidRPr="00061FBB">
        <w:rPr>
          <w:rFonts w:ascii="Times New Roman" w:hAnsi="Times New Roman" w:cs="Times New Roman"/>
          <w:sz w:val="24"/>
          <w:szCs w:val="24"/>
        </w:rPr>
        <w:t xml:space="preserve"> </w:t>
      </w:r>
      <w:r w:rsidR="008B2B9A" w:rsidRPr="00061FBB">
        <w:rPr>
          <w:rFonts w:ascii="Times New Roman" w:hAnsi="Times New Roman" w:cs="Times New Roman"/>
          <w:sz w:val="24"/>
          <w:szCs w:val="24"/>
        </w:rPr>
        <w:t>Infertility, Community Health Nursing, Rural Health, Early Detection, Reproductive Care.</w:t>
      </w:r>
    </w:p>
    <w:p w14:paraId="66DA8BE7" w14:textId="2A23FFF8" w:rsidR="00505D94" w:rsidRPr="00061FBB" w:rsidRDefault="00505D94" w:rsidP="004B77CB">
      <w:pPr>
        <w:spacing w:line="360" w:lineRule="auto"/>
        <w:rPr>
          <w:rFonts w:ascii="Times New Roman" w:hAnsi="Times New Roman" w:cs="Times New Roman"/>
          <w:b/>
          <w:bCs/>
          <w:sz w:val="24"/>
          <w:szCs w:val="24"/>
        </w:rPr>
      </w:pPr>
      <w:r w:rsidRPr="00061FBB">
        <w:rPr>
          <w:rFonts w:ascii="Times New Roman" w:hAnsi="Times New Roman" w:cs="Times New Roman"/>
          <w:b/>
          <w:bCs/>
          <w:sz w:val="24"/>
          <w:szCs w:val="24"/>
        </w:rPr>
        <w:t>Introduction</w:t>
      </w:r>
    </w:p>
    <w:p w14:paraId="40DFD53C" w14:textId="77777777" w:rsidR="00E65189" w:rsidRPr="00061FBB" w:rsidRDefault="00E65189" w:rsidP="004B77CB">
      <w:pPr>
        <w:spacing w:line="360" w:lineRule="auto"/>
        <w:jc w:val="both"/>
        <w:rPr>
          <w:rFonts w:ascii="Times New Roman" w:hAnsi="Times New Roman" w:cs="Times New Roman"/>
          <w:sz w:val="24"/>
          <w:szCs w:val="24"/>
        </w:rPr>
      </w:pPr>
      <w:r w:rsidRPr="00061FBB">
        <w:rPr>
          <w:rFonts w:ascii="Times New Roman" w:hAnsi="Times New Roman" w:cs="Times New Roman"/>
          <w:sz w:val="24"/>
          <w:szCs w:val="24"/>
        </w:rPr>
        <w:t xml:space="preserve">Infertility is clinically defined as the inability to achieve pregnancy after 12 months of regular unprotected sexual intercourse. It is increasingly recognized as a major public health concern affecting both developed and developing countries (Smith et al., 2022). Global estimates suggest that approximately 10–15% of couples of reproductive age experience infertility at some point in their lives (World Health Organization, 2023). Recent global analyses emphasize that infertility remains a significant but often neglected reproductive health issue due to its complex social, psychological, and medical dimensions (Johnson &amp; Patel, 2021). This issue is particularly evident in low- and middle-income countries where healthcare infrastructure is </w:t>
      </w:r>
      <w:r w:rsidRPr="00061FBB">
        <w:rPr>
          <w:rFonts w:ascii="Times New Roman" w:hAnsi="Times New Roman" w:cs="Times New Roman"/>
          <w:sz w:val="24"/>
          <w:szCs w:val="24"/>
        </w:rPr>
        <w:lastRenderedPageBreak/>
        <w:t xml:space="preserve">unevenly distributed and reproductive health services are often limited (Kumar et al., 2020). Rural populations are especially vulnerable due to geographic isolation, poor accessibility to specialized fertility services, and limited availability of trained healthcare professionals (Singh &amp; Sharma, 2019). In addition, sociocultural factors such as stigma, traditional beliefs, and gender-based discrimination further increase the burden of infertility by discouraging timely healthcare-seeking behavior (Gupta et al., 2018). Studies show that rural populations often have misconceptions about infertility causes. These include beliefs that infertility is caused by stress, supernatural forces, or moral failure (Rao et al., 2022). Such misconceptions delay appropriate medical intervention and reduce the chances of successful treatment. Many individuals in rural areas rely on informal healthcare providers or traditional healers instead of qualified medical practitioners. This practice leads to prolonged untreated reproductive health conditions (Patel &amp; Desai, 2020). Disparities between rural and urban populations are also reflected in treatment-seeking patterns. A significantly higher proportion of rural couples delay seeking professional care compared to urban couples (Sharma et al., 2021). Even when individuals recognize infertility as a medical condition, access barriers such as high cost, long travel distances, and lack of diagnostic facilities prevent early diagnosis and effective management (Mehta et al., 2023). As illustrated in Figure 1, which compares the prevalence and treatment-seeking behavior between rural and urban populations, rural couples often experience delayed diagnosis and treatment initiation. This delay is mainly due to stigma, misinformation, and systemic healthcare gaps (Kaur et al., 2020). Gender bias further worsens the situation. Women are often blamed for infertility regardless of the actual medical cause, which may involve male factors as well (Agarwal et al., 2017). This creates emotional distress and discourages couples from seeking timely help. Lack of education and awareness about reproductive health also contributes significantly to the problem. Many couples are unaware of available treatment options and preventive measures (Verma &amp; Singh, 2019). The absence of structured reproductive health programs in rural areas further limits early detection and intervention. As a result, infertility remains underdiagnosed and undertreated in these communities. Addressing these challenges requires a comprehensive approach that integrates community-based healthcare services with awareness and education initiatives (Choudhary et al., 2022). Strengthening primary healthcare systems and involving community health nurses can play a crucial role in bridging this gap. These professionals can help in early identification of risk factors, provide counseling, and facilitate timely referrals to specialized care (Bansal et al., 2021). Therefore, infertility should not only be viewed as a medical condition but also as a </w:t>
      </w:r>
      <w:r w:rsidRPr="00061FBB">
        <w:rPr>
          <w:rFonts w:ascii="Times New Roman" w:hAnsi="Times New Roman" w:cs="Times New Roman"/>
          <w:sz w:val="24"/>
          <w:szCs w:val="24"/>
        </w:rPr>
        <w:lastRenderedPageBreak/>
        <w:t>social issue that requires coordinated efforts at multiple levels to ensure equitable healthcare access and improved reproductive outcomes.</w:t>
      </w:r>
    </w:p>
    <w:p w14:paraId="1685D839" w14:textId="5455DDD6" w:rsidR="0010259B" w:rsidRPr="00061FBB" w:rsidRDefault="00B86B08" w:rsidP="004B77CB">
      <w:pPr>
        <w:spacing w:line="360" w:lineRule="auto"/>
        <w:jc w:val="center"/>
        <w:rPr>
          <w:rFonts w:ascii="Times New Roman" w:hAnsi="Times New Roman" w:cs="Times New Roman"/>
          <w:sz w:val="24"/>
          <w:szCs w:val="24"/>
        </w:rPr>
      </w:pPr>
      <w:r w:rsidRPr="00061FBB">
        <w:rPr>
          <w:rFonts w:ascii="Times New Roman" w:hAnsi="Times New Roman" w:cs="Times New Roman"/>
          <w:noProof/>
          <w:sz w:val="24"/>
          <w:szCs w:val="24"/>
          <w:lang w:val="en-US"/>
        </w:rPr>
        <w:drawing>
          <wp:inline distT="0" distB="0" distL="0" distR="0" wp14:anchorId="65D5F15B" wp14:editId="57E90FB5">
            <wp:extent cx="5048250" cy="2638425"/>
            <wp:effectExtent l="0" t="0" r="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8">
                      <a:extLst>
                        <a:ext uri="{28A0092B-C50C-407E-A947-70E740481C1C}">
                          <a14:useLocalDpi xmlns:a14="http://schemas.microsoft.com/office/drawing/2010/main" val="0"/>
                        </a:ext>
                      </a:extLst>
                    </a:blip>
                    <a:srcRect b="51860"/>
                    <a:stretch/>
                  </pic:blipFill>
                  <pic:spPr bwMode="auto">
                    <a:xfrm>
                      <a:off x="0" y="0"/>
                      <a:ext cx="5048250" cy="2638425"/>
                    </a:xfrm>
                    <a:prstGeom prst="rect">
                      <a:avLst/>
                    </a:prstGeom>
                    <a:noFill/>
                    <a:ln>
                      <a:noFill/>
                    </a:ln>
                    <a:extLst>
                      <a:ext uri="{53640926-AAD7-44D8-BBD7-CCE9431645EC}">
                        <a14:shadowObscured xmlns:a14="http://schemas.microsoft.com/office/drawing/2010/main"/>
                      </a:ext>
                    </a:extLst>
                  </pic:spPr>
                </pic:pic>
              </a:graphicData>
            </a:graphic>
          </wp:inline>
        </w:drawing>
      </w:r>
    </w:p>
    <w:p w14:paraId="29994D43" w14:textId="05DD2A0F" w:rsidR="00E65189" w:rsidRPr="00061FBB" w:rsidRDefault="00505D94" w:rsidP="004B77CB">
      <w:pPr>
        <w:spacing w:line="360" w:lineRule="auto"/>
        <w:jc w:val="center"/>
        <w:rPr>
          <w:rFonts w:ascii="Times New Roman" w:hAnsi="Times New Roman" w:cs="Times New Roman"/>
          <w:b/>
          <w:bCs/>
          <w:sz w:val="24"/>
          <w:szCs w:val="24"/>
        </w:rPr>
      </w:pPr>
      <w:r w:rsidRPr="00061FBB">
        <w:rPr>
          <w:rFonts w:ascii="Times New Roman" w:hAnsi="Times New Roman" w:cs="Times New Roman"/>
          <w:b/>
          <w:bCs/>
          <w:sz w:val="24"/>
          <w:szCs w:val="24"/>
        </w:rPr>
        <w:t>Figure 1: Comparison of infertility prevalence and treatment-seeking behavior in rural and urban populations</w:t>
      </w:r>
    </w:p>
    <w:p w14:paraId="6BAE9EBB" w14:textId="450D483E" w:rsidR="00505D94" w:rsidRPr="00061FBB" w:rsidRDefault="00505D94" w:rsidP="004B77CB">
      <w:pPr>
        <w:spacing w:line="360" w:lineRule="auto"/>
        <w:rPr>
          <w:rFonts w:ascii="Times New Roman" w:hAnsi="Times New Roman" w:cs="Times New Roman"/>
          <w:b/>
          <w:bCs/>
          <w:sz w:val="24"/>
          <w:szCs w:val="24"/>
        </w:rPr>
      </w:pPr>
      <w:r w:rsidRPr="00061FBB">
        <w:rPr>
          <w:rFonts w:ascii="Times New Roman" w:hAnsi="Times New Roman" w:cs="Times New Roman"/>
          <w:b/>
          <w:bCs/>
          <w:sz w:val="24"/>
          <w:szCs w:val="24"/>
        </w:rPr>
        <w:t>Concept of Community Health Nursing in Infertility Care</w:t>
      </w:r>
    </w:p>
    <w:p w14:paraId="5541FB3F" w14:textId="38BB3903" w:rsidR="00505D94" w:rsidRPr="00061FBB" w:rsidRDefault="00E65189" w:rsidP="004B77CB">
      <w:pPr>
        <w:spacing w:line="360" w:lineRule="auto"/>
        <w:jc w:val="both"/>
        <w:rPr>
          <w:rFonts w:ascii="Times New Roman" w:hAnsi="Times New Roman" w:cs="Times New Roman"/>
          <w:sz w:val="24"/>
          <w:szCs w:val="24"/>
        </w:rPr>
      </w:pPr>
      <w:r w:rsidRPr="00061FBB">
        <w:rPr>
          <w:rFonts w:ascii="Times New Roman" w:hAnsi="Times New Roman" w:cs="Times New Roman"/>
          <w:sz w:val="24"/>
          <w:szCs w:val="24"/>
        </w:rPr>
        <w:t xml:space="preserve">Community health nursing emphasizes preventive, promotive, and rehabilitative services delivered at the grassroots level. It focuses on improving the health status of individuals, families, and communities through accessible and community-based interventions (Kumar et al., 2020). Nurses play a crucial role in ensuring that essential healthcare services reach underserved rural populations where formal healthcare systems are often limited (Sharma &amp; Singh, 2019). They act as a vital link between healthcare systems and the community by bridging gaps related to awareness, accessibility, and continuity of care (Gupta et al., 2021). Community health nurses are actively involved in identifying health needs, planning interventions, and implementing programs that address reproductive health concerns, including infertility (Patel et al., 2018). Their role becomes even more important in rural settings where cultural beliefs and lack of knowledge can delay timely healthcare utilization (Rao et al., 2022). Through regular home visits and community interactions, nurses build trust and establish strong relationships with families, which helps in early identification of health issues (Verma &amp; Kaur, 2020). They also play a key role in promoting health education and awareness about reproductive health, hygiene, and preventive practices (Bansal et al., 2021). In addition, community health nurses conduct screening programs to identify risk factors such as infections, hormonal imbalances, and lifestyle issues that may contribute to infertility (Mehta et al., 2023). </w:t>
      </w:r>
      <w:r w:rsidRPr="00061FBB">
        <w:rPr>
          <w:rFonts w:ascii="Times New Roman" w:hAnsi="Times New Roman" w:cs="Times New Roman"/>
          <w:sz w:val="24"/>
          <w:szCs w:val="24"/>
        </w:rPr>
        <w:lastRenderedPageBreak/>
        <w:t>They provide counseling services to individuals and couples to address emotional stress and misconceptions related to infertility (Singh et al., 2019). Referral services are another important component of their role, as nurses guide patients to appropriate healthcare facilities for further diagnosis and treatment (Agarwal et al., 2017). Follow-up care is equally essential, ensuring that patients adhere to treatment plans and receive continuous support throughout the care process (Choudhary et al., 2022). This interconnected role is clearly represented in Figure 2, which presents a conceptual framework positioning the community health nurse at the center of awareness generation, screening, counseling, referral, and follow-up services. The framework demonstrates how care is delivered in a continuous and integrated manner, ensuring that no stage of the healthcare process is neglected (Kaur et al., 2020). By integrating these multiple roles, community health nurses contribute significantly to improving reproductive health outcomes and reducing disparities in rural populations.</w:t>
      </w:r>
    </w:p>
    <w:p w14:paraId="3FE18282" w14:textId="7CBFB52B" w:rsidR="0010259B" w:rsidRPr="00061FBB" w:rsidRDefault="00026B57" w:rsidP="004B77CB">
      <w:pPr>
        <w:spacing w:line="360" w:lineRule="auto"/>
        <w:jc w:val="center"/>
        <w:rPr>
          <w:rFonts w:ascii="Times New Roman" w:hAnsi="Times New Roman" w:cs="Times New Roman"/>
          <w:sz w:val="24"/>
          <w:szCs w:val="24"/>
        </w:rPr>
      </w:pPr>
      <w:r w:rsidRPr="00061FBB">
        <w:rPr>
          <w:rFonts w:ascii="Times New Roman" w:hAnsi="Times New Roman" w:cs="Times New Roman"/>
          <w:noProof/>
          <w:sz w:val="24"/>
          <w:szCs w:val="24"/>
          <w:lang w:val="en-US"/>
        </w:rPr>
        <w:drawing>
          <wp:inline distT="0" distB="0" distL="0" distR="0" wp14:anchorId="61962A94" wp14:editId="2109AA70">
            <wp:extent cx="5454314" cy="2714625"/>
            <wp:effectExtent l="0" t="0" r="0" b="0"/>
            <wp:docPr id="308355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835529" name=""/>
                    <pic:cNvPicPr/>
                  </pic:nvPicPr>
                  <pic:blipFill rotWithShape="1">
                    <a:blip r:embed="rId9"/>
                    <a:srcRect t="8824"/>
                    <a:stretch/>
                  </pic:blipFill>
                  <pic:spPr bwMode="auto">
                    <a:xfrm>
                      <a:off x="0" y="0"/>
                      <a:ext cx="5463994" cy="2719443"/>
                    </a:xfrm>
                    <a:prstGeom prst="rect">
                      <a:avLst/>
                    </a:prstGeom>
                    <a:ln>
                      <a:noFill/>
                    </a:ln>
                    <a:extLst>
                      <a:ext uri="{53640926-AAD7-44D8-BBD7-CCE9431645EC}">
                        <a14:shadowObscured xmlns:a14="http://schemas.microsoft.com/office/drawing/2010/main"/>
                      </a:ext>
                    </a:extLst>
                  </pic:spPr>
                </pic:pic>
              </a:graphicData>
            </a:graphic>
          </wp:inline>
        </w:drawing>
      </w:r>
    </w:p>
    <w:p w14:paraId="1526BBFE" w14:textId="10A32591" w:rsidR="00E65189" w:rsidRPr="00061FBB" w:rsidRDefault="00505D94" w:rsidP="004B77CB">
      <w:pPr>
        <w:spacing w:line="360" w:lineRule="auto"/>
        <w:jc w:val="center"/>
        <w:rPr>
          <w:rFonts w:ascii="Times New Roman" w:hAnsi="Times New Roman" w:cs="Times New Roman"/>
          <w:b/>
          <w:bCs/>
          <w:sz w:val="24"/>
          <w:szCs w:val="24"/>
        </w:rPr>
      </w:pPr>
      <w:r w:rsidRPr="00061FBB">
        <w:rPr>
          <w:rFonts w:ascii="Times New Roman" w:hAnsi="Times New Roman" w:cs="Times New Roman"/>
          <w:b/>
          <w:bCs/>
          <w:sz w:val="24"/>
          <w:szCs w:val="24"/>
        </w:rPr>
        <w:t>Figure 2: Conceptual framework of community health nursing in infertility care showing integrated service delivery</w:t>
      </w:r>
    </w:p>
    <w:p w14:paraId="5014DDB5" w14:textId="3186A2F7" w:rsidR="00505D94" w:rsidRPr="00061FBB" w:rsidRDefault="00505D94" w:rsidP="004B77CB">
      <w:pPr>
        <w:spacing w:line="360" w:lineRule="auto"/>
        <w:rPr>
          <w:rFonts w:ascii="Times New Roman" w:hAnsi="Times New Roman" w:cs="Times New Roman"/>
          <w:b/>
          <w:bCs/>
          <w:sz w:val="24"/>
          <w:szCs w:val="24"/>
        </w:rPr>
      </w:pPr>
      <w:r w:rsidRPr="00061FBB">
        <w:rPr>
          <w:rFonts w:ascii="Times New Roman" w:hAnsi="Times New Roman" w:cs="Times New Roman"/>
          <w:b/>
          <w:bCs/>
          <w:sz w:val="24"/>
          <w:szCs w:val="24"/>
        </w:rPr>
        <w:t>Sociocultural Barriers in Rural Infertility</w:t>
      </w:r>
    </w:p>
    <w:p w14:paraId="76260304" w14:textId="77777777" w:rsidR="00B86B08" w:rsidRPr="00061FBB" w:rsidRDefault="00500FA5" w:rsidP="004B77CB">
      <w:pPr>
        <w:spacing w:line="360" w:lineRule="auto"/>
        <w:jc w:val="both"/>
        <w:rPr>
          <w:rFonts w:ascii="Times New Roman" w:hAnsi="Times New Roman" w:cs="Times New Roman"/>
          <w:sz w:val="24"/>
          <w:szCs w:val="24"/>
        </w:rPr>
      </w:pPr>
      <w:r w:rsidRPr="00061FBB">
        <w:rPr>
          <w:rFonts w:ascii="Times New Roman" w:hAnsi="Times New Roman" w:cs="Times New Roman"/>
          <w:sz w:val="24"/>
          <w:szCs w:val="24"/>
        </w:rPr>
        <w:t xml:space="preserve">Infertility in rural areas is often surrounded by myths, stigma, and gender bias, which significantly influence health-seeking behavior and delay timely medical intervention. In many traditional communities, infertility is not considered a medical condition but is instead perceived as a social or moral failure, often associated with cultural misconceptions and deeply rooted beliefs (Patel et al., 2019). This perception creates an environment where individuals hesitate to seek medical advice and instead rely on non-scientific explanations for infertility </w:t>
      </w:r>
      <w:r w:rsidRPr="00061FBB">
        <w:rPr>
          <w:rFonts w:ascii="Times New Roman" w:hAnsi="Times New Roman" w:cs="Times New Roman"/>
          <w:sz w:val="24"/>
          <w:szCs w:val="24"/>
        </w:rPr>
        <w:lastRenderedPageBreak/>
        <w:t>(Kumar et al., 2020). Women, in particular, are disproportionately blamed for infertility regardless of the underlying cause, even though scientific evidence confirms that male factors contribute equally to infertility cases (Agarwal et al., 2018). This gender-based bias not only perpetuates inequality but also places an emotional burden on women, leading to stress, anxiety, and reduced self-worth (Sharma &amp; Verma, 2020). In rural settings, societal expectations and pressure to bear children intensify the stigma associated with infertility, making it a highly sensitive and often hidden issue (Gupta et al., 2021). As a result, couples frequently avoid discussing their condition openly or seeking timely treatment due to fear of social exclusion or judgment (Rao et al., 2022). Many individuals turn to traditional healers, faith-based practices, or unverified remedies, which delays proper diagnosis and effective treatment (Singh et al., 2019). This delay often worsens the condition and reduces the chances of successful medical intervention over time (Mehta et al., 2023). Additionally, a lack of awareness about reproductive health and infertility treatment options contributes significantly to the problem, particularly among populations with lower levels of education and limited exposure to healthcare information (Verma &amp; Kaur, 2020). Financial barriers further exacerbate the situation, as infertility treatments are often perceived as expensive and inaccessible for rural families with limited income (Bansal et al., 2021). Inadequate healthcare infrastructure, including a shortage of trained professionals and diagnostic facilities in rural areas, also restricts access to appropriate care (Choudhary et al., 2022). Transportation challenges and long distances to healthcare centers further discourage individuals from seeking help (Kaur et al., 2020). These interconnected factors create a cycle of neglect, where infertility remains undiagnosed and untreated, leading to prolonged suffering and poor reproductive outcomes (Joshi et al., 2021). As illustrated in Figure 3, which highlights major sociocultural barriers such as stigma, lack of awareness, gender discrimination, and financial limitations, these factors collectively hinder access to infertility care and contribute to delayed treatment-seeking behavior (Nair et al., 2019). Furthermore, these barriers are systematically categorized in Table 1, which outlines different types of obstacles along with their descriptions and impact on treatment-seeking behavior, thereby providing a structured understanding of the challenges faced in rural settings (Yadav et al., 2020).</w:t>
      </w:r>
    </w:p>
    <w:p w14:paraId="028329E3" w14:textId="0AC9CFB0" w:rsidR="00B86B08" w:rsidRPr="00061FBB" w:rsidRDefault="00B86B08" w:rsidP="004B77CB">
      <w:pPr>
        <w:spacing w:line="360" w:lineRule="auto"/>
        <w:jc w:val="center"/>
        <w:rPr>
          <w:rFonts w:ascii="Times New Roman" w:hAnsi="Times New Roman" w:cs="Times New Roman"/>
          <w:b/>
          <w:bCs/>
          <w:sz w:val="24"/>
          <w:szCs w:val="24"/>
        </w:rPr>
      </w:pPr>
      <w:r w:rsidRPr="00061FBB">
        <w:rPr>
          <w:rFonts w:ascii="Times New Roman" w:hAnsi="Times New Roman" w:cs="Times New Roman"/>
          <w:b/>
          <w:bCs/>
          <w:noProof/>
          <w:sz w:val="24"/>
          <w:szCs w:val="24"/>
          <w:lang w:val="en-US"/>
        </w:rPr>
        <w:lastRenderedPageBreak/>
        <w:drawing>
          <wp:inline distT="0" distB="0" distL="0" distR="0" wp14:anchorId="76FE3DFB" wp14:editId="00C7C5CA">
            <wp:extent cx="5275233" cy="2828925"/>
            <wp:effectExtent l="0" t="0" r="190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0">
                      <a:extLst>
                        <a:ext uri="{28A0092B-C50C-407E-A947-70E740481C1C}">
                          <a14:useLocalDpi xmlns:a14="http://schemas.microsoft.com/office/drawing/2010/main" val="0"/>
                        </a:ext>
                      </a:extLst>
                    </a:blip>
                    <a:srcRect t="5642" b="36632"/>
                    <a:stretch/>
                  </pic:blipFill>
                  <pic:spPr bwMode="auto">
                    <a:xfrm>
                      <a:off x="0" y="0"/>
                      <a:ext cx="5277586" cy="2830187"/>
                    </a:xfrm>
                    <a:prstGeom prst="rect">
                      <a:avLst/>
                    </a:prstGeom>
                    <a:noFill/>
                    <a:ln>
                      <a:noFill/>
                    </a:ln>
                    <a:extLst>
                      <a:ext uri="{53640926-AAD7-44D8-BBD7-CCE9431645EC}">
                        <a14:shadowObscured xmlns:a14="http://schemas.microsoft.com/office/drawing/2010/main"/>
                      </a:ext>
                    </a:extLst>
                  </pic:spPr>
                </pic:pic>
              </a:graphicData>
            </a:graphic>
          </wp:inline>
        </w:drawing>
      </w:r>
    </w:p>
    <w:p w14:paraId="491FC257" w14:textId="2B4EA0FF" w:rsidR="00500FA5" w:rsidRPr="00061FBB" w:rsidRDefault="00500FA5" w:rsidP="004B77CB">
      <w:pPr>
        <w:spacing w:line="360" w:lineRule="auto"/>
        <w:jc w:val="center"/>
        <w:rPr>
          <w:rFonts w:ascii="Times New Roman" w:hAnsi="Times New Roman" w:cs="Times New Roman"/>
          <w:sz w:val="24"/>
          <w:szCs w:val="24"/>
        </w:rPr>
      </w:pPr>
      <w:r w:rsidRPr="00061FBB">
        <w:rPr>
          <w:rFonts w:ascii="Times New Roman" w:hAnsi="Times New Roman" w:cs="Times New Roman"/>
          <w:b/>
          <w:bCs/>
          <w:sz w:val="24"/>
          <w:szCs w:val="24"/>
        </w:rPr>
        <w:t>Figure 3: Sociocultural barriers affecting infertility management in rural populations</w:t>
      </w:r>
    </w:p>
    <w:p w14:paraId="7DB38E3E" w14:textId="509F6AC4" w:rsidR="00505D94" w:rsidRPr="00061FBB" w:rsidRDefault="00500FA5" w:rsidP="004B77CB">
      <w:pPr>
        <w:spacing w:line="360" w:lineRule="auto"/>
        <w:jc w:val="both"/>
        <w:rPr>
          <w:rFonts w:ascii="Times New Roman" w:hAnsi="Times New Roman" w:cs="Times New Roman"/>
          <w:sz w:val="24"/>
          <w:szCs w:val="24"/>
        </w:rPr>
      </w:pPr>
      <w:r w:rsidRPr="00061FBB">
        <w:rPr>
          <w:rFonts w:ascii="Times New Roman" w:hAnsi="Times New Roman" w:cs="Times New Roman"/>
          <w:sz w:val="24"/>
          <w:szCs w:val="24"/>
        </w:rPr>
        <w:t>Addressing these challenges requires a multifaceted approach that includes increasing awareness, promoting gender equality, and improving access to affordable healthcare services (Thakur et al., 2022). Community health nurses play a vital role in overcoming these barriers by educating communities, dispelling myths, and encouraging early diagnosis and treatment (Mishra et al., 2021). They also provide counseling and emotional support to couples, helping them cope with the psychological impact of infertility (Khan et al., 2018). By fostering trust and building strong relationships within the community, nurses can facilitate better health-seeking behavior and ensure continuity of care (Pandey et al., 2023). Therefore, addressing sociocultural barriers through community-based interventions is essential for improving infertility management and ensuring equitable healthcare access in rural populations (Saxena et al., 2022).</w:t>
      </w:r>
    </w:p>
    <w:p w14:paraId="6C64D243" w14:textId="626F690E" w:rsidR="00505D94" w:rsidRPr="00061FBB" w:rsidRDefault="00505D94" w:rsidP="004B77CB">
      <w:pPr>
        <w:spacing w:line="360" w:lineRule="auto"/>
        <w:jc w:val="center"/>
        <w:rPr>
          <w:rFonts w:ascii="Times New Roman" w:hAnsi="Times New Roman" w:cs="Times New Roman"/>
          <w:b/>
          <w:bCs/>
          <w:sz w:val="24"/>
          <w:szCs w:val="24"/>
        </w:rPr>
      </w:pPr>
      <w:r w:rsidRPr="00061FBB">
        <w:rPr>
          <w:rFonts w:ascii="Times New Roman" w:hAnsi="Times New Roman" w:cs="Times New Roman"/>
          <w:b/>
          <w:bCs/>
          <w:sz w:val="24"/>
          <w:szCs w:val="24"/>
        </w:rPr>
        <w:t>Table 1: Major sociocultural and economic barriers influencing infertility care in rural areas</w:t>
      </w:r>
    </w:p>
    <w:tbl>
      <w:tblPr>
        <w:tblStyle w:val="TableGrid"/>
        <w:tblW w:w="0" w:type="auto"/>
        <w:jc w:val="center"/>
        <w:tblLook w:val="04A0" w:firstRow="1" w:lastRow="0" w:firstColumn="1" w:lastColumn="0" w:noHBand="0" w:noVBand="1"/>
      </w:tblPr>
      <w:tblGrid>
        <w:gridCol w:w="1369"/>
        <w:gridCol w:w="2182"/>
        <w:gridCol w:w="2002"/>
      </w:tblGrid>
      <w:tr w:rsidR="00505D94" w:rsidRPr="00061FBB" w14:paraId="0EFA2881" w14:textId="77777777" w:rsidTr="00505D94">
        <w:trPr>
          <w:trHeight w:val="850"/>
          <w:jc w:val="center"/>
        </w:trPr>
        <w:tc>
          <w:tcPr>
            <w:tcW w:w="0" w:type="auto"/>
            <w:vAlign w:val="center"/>
            <w:hideMark/>
          </w:tcPr>
          <w:p w14:paraId="72E34A59" w14:textId="77777777" w:rsidR="00505D94" w:rsidRPr="00061FBB" w:rsidRDefault="00505D94" w:rsidP="004B77CB">
            <w:pPr>
              <w:spacing w:after="160" w:line="360" w:lineRule="auto"/>
              <w:jc w:val="center"/>
              <w:rPr>
                <w:rFonts w:ascii="Times New Roman" w:hAnsi="Times New Roman" w:cs="Times New Roman"/>
                <w:b/>
                <w:bCs/>
                <w:sz w:val="24"/>
                <w:szCs w:val="24"/>
              </w:rPr>
            </w:pPr>
            <w:r w:rsidRPr="00061FBB">
              <w:rPr>
                <w:rFonts w:ascii="Times New Roman" w:hAnsi="Times New Roman" w:cs="Times New Roman"/>
                <w:b/>
                <w:bCs/>
                <w:sz w:val="24"/>
                <w:szCs w:val="24"/>
              </w:rPr>
              <w:t>Barrier</w:t>
            </w:r>
          </w:p>
        </w:tc>
        <w:tc>
          <w:tcPr>
            <w:tcW w:w="0" w:type="auto"/>
            <w:vAlign w:val="center"/>
            <w:hideMark/>
          </w:tcPr>
          <w:p w14:paraId="14A83BD6" w14:textId="77777777" w:rsidR="00505D94" w:rsidRPr="00061FBB" w:rsidRDefault="00505D94" w:rsidP="004B77CB">
            <w:pPr>
              <w:spacing w:after="160" w:line="360" w:lineRule="auto"/>
              <w:jc w:val="center"/>
              <w:rPr>
                <w:rFonts w:ascii="Times New Roman" w:hAnsi="Times New Roman" w:cs="Times New Roman"/>
                <w:b/>
                <w:bCs/>
                <w:sz w:val="24"/>
                <w:szCs w:val="24"/>
              </w:rPr>
            </w:pPr>
            <w:r w:rsidRPr="00061FBB">
              <w:rPr>
                <w:rFonts w:ascii="Times New Roman" w:hAnsi="Times New Roman" w:cs="Times New Roman"/>
                <w:b/>
                <w:bCs/>
                <w:sz w:val="24"/>
                <w:szCs w:val="24"/>
              </w:rPr>
              <w:t>Description</w:t>
            </w:r>
          </w:p>
        </w:tc>
        <w:tc>
          <w:tcPr>
            <w:tcW w:w="0" w:type="auto"/>
            <w:vAlign w:val="center"/>
            <w:hideMark/>
          </w:tcPr>
          <w:p w14:paraId="150C2BD4" w14:textId="77777777" w:rsidR="00505D94" w:rsidRPr="00061FBB" w:rsidRDefault="00505D94" w:rsidP="004B77CB">
            <w:pPr>
              <w:spacing w:after="160" w:line="360" w:lineRule="auto"/>
              <w:jc w:val="center"/>
              <w:rPr>
                <w:rFonts w:ascii="Times New Roman" w:hAnsi="Times New Roman" w:cs="Times New Roman"/>
                <w:b/>
                <w:bCs/>
                <w:sz w:val="24"/>
                <w:szCs w:val="24"/>
              </w:rPr>
            </w:pPr>
            <w:r w:rsidRPr="00061FBB">
              <w:rPr>
                <w:rFonts w:ascii="Times New Roman" w:hAnsi="Times New Roman" w:cs="Times New Roman"/>
                <w:b/>
                <w:bCs/>
                <w:sz w:val="24"/>
                <w:szCs w:val="24"/>
              </w:rPr>
              <w:t>Impact</w:t>
            </w:r>
          </w:p>
        </w:tc>
      </w:tr>
      <w:tr w:rsidR="00505D94" w:rsidRPr="00061FBB" w14:paraId="59542754" w14:textId="77777777" w:rsidTr="00505D94">
        <w:trPr>
          <w:trHeight w:val="850"/>
          <w:jc w:val="center"/>
        </w:trPr>
        <w:tc>
          <w:tcPr>
            <w:tcW w:w="0" w:type="auto"/>
            <w:vAlign w:val="center"/>
            <w:hideMark/>
          </w:tcPr>
          <w:p w14:paraId="2DF09117" w14:textId="77777777" w:rsidR="00505D94" w:rsidRPr="00061FBB" w:rsidRDefault="00505D94" w:rsidP="004B77CB">
            <w:pPr>
              <w:spacing w:after="160" w:line="360" w:lineRule="auto"/>
              <w:jc w:val="center"/>
              <w:rPr>
                <w:rFonts w:ascii="Times New Roman" w:hAnsi="Times New Roman" w:cs="Times New Roman"/>
                <w:sz w:val="24"/>
                <w:szCs w:val="24"/>
              </w:rPr>
            </w:pPr>
            <w:r w:rsidRPr="00061FBB">
              <w:rPr>
                <w:rFonts w:ascii="Times New Roman" w:hAnsi="Times New Roman" w:cs="Times New Roman"/>
                <w:sz w:val="24"/>
                <w:szCs w:val="24"/>
              </w:rPr>
              <w:t>Stigma</w:t>
            </w:r>
          </w:p>
        </w:tc>
        <w:tc>
          <w:tcPr>
            <w:tcW w:w="0" w:type="auto"/>
            <w:vAlign w:val="center"/>
            <w:hideMark/>
          </w:tcPr>
          <w:p w14:paraId="00FAE9FD" w14:textId="77777777" w:rsidR="00505D94" w:rsidRPr="00061FBB" w:rsidRDefault="00505D94" w:rsidP="004B77CB">
            <w:pPr>
              <w:spacing w:after="160" w:line="360" w:lineRule="auto"/>
              <w:jc w:val="center"/>
              <w:rPr>
                <w:rFonts w:ascii="Times New Roman" w:hAnsi="Times New Roman" w:cs="Times New Roman"/>
                <w:sz w:val="24"/>
                <w:szCs w:val="24"/>
              </w:rPr>
            </w:pPr>
            <w:r w:rsidRPr="00061FBB">
              <w:rPr>
                <w:rFonts w:ascii="Times New Roman" w:hAnsi="Times New Roman" w:cs="Times New Roman"/>
                <w:sz w:val="24"/>
                <w:szCs w:val="24"/>
              </w:rPr>
              <w:t>Social shame</w:t>
            </w:r>
          </w:p>
        </w:tc>
        <w:tc>
          <w:tcPr>
            <w:tcW w:w="0" w:type="auto"/>
            <w:vAlign w:val="center"/>
            <w:hideMark/>
          </w:tcPr>
          <w:p w14:paraId="34EF3F17" w14:textId="77777777" w:rsidR="00505D94" w:rsidRPr="00061FBB" w:rsidRDefault="00505D94" w:rsidP="004B77CB">
            <w:pPr>
              <w:spacing w:after="160" w:line="360" w:lineRule="auto"/>
              <w:jc w:val="center"/>
              <w:rPr>
                <w:rFonts w:ascii="Times New Roman" w:hAnsi="Times New Roman" w:cs="Times New Roman"/>
                <w:sz w:val="24"/>
                <w:szCs w:val="24"/>
              </w:rPr>
            </w:pPr>
            <w:r w:rsidRPr="00061FBB">
              <w:rPr>
                <w:rFonts w:ascii="Times New Roman" w:hAnsi="Times New Roman" w:cs="Times New Roman"/>
                <w:sz w:val="24"/>
                <w:szCs w:val="24"/>
              </w:rPr>
              <w:t>Delay in treatment</w:t>
            </w:r>
          </w:p>
        </w:tc>
      </w:tr>
      <w:tr w:rsidR="00505D94" w:rsidRPr="00061FBB" w14:paraId="55B8EAD8" w14:textId="77777777" w:rsidTr="00505D94">
        <w:trPr>
          <w:trHeight w:val="850"/>
          <w:jc w:val="center"/>
        </w:trPr>
        <w:tc>
          <w:tcPr>
            <w:tcW w:w="0" w:type="auto"/>
            <w:vAlign w:val="center"/>
            <w:hideMark/>
          </w:tcPr>
          <w:p w14:paraId="0C759BEC" w14:textId="77777777" w:rsidR="00505D94" w:rsidRPr="00061FBB" w:rsidRDefault="00505D94" w:rsidP="004B77CB">
            <w:pPr>
              <w:spacing w:after="160" w:line="360" w:lineRule="auto"/>
              <w:jc w:val="center"/>
              <w:rPr>
                <w:rFonts w:ascii="Times New Roman" w:hAnsi="Times New Roman" w:cs="Times New Roman"/>
                <w:sz w:val="24"/>
                <w:szCs w:val="24"/>
              </w:rPr>
            </w:pPr>
            <w:r w:rsidRPr="00061FBB">
              <w:rPr>
                <w:rFonts w:ascii="Times New Roman" w:hAnsi="Times New Roman" w:cs="Times New Roman"/>
                <w:sz w:val="24"/>
                <w:szCs w:val="24"/>
              </w:rPr>
              <w:t>Myths</w:t>
            </w:r>
          </w:p>
        </w:tc>
        <w:tc>
          <w:tcPr>
            <w:tcW w:w="0" w:type="auto"/>
            <w:vAlign w:val="center"/>
            <w:hideMark/>
          </w:tcPr>
          <w:p w14:paraId="16EB52CD" w14:textId="77777777" w:rsidR="00505D94" w:rsidRPr="00061FBB" w:rsidRDefault="00505D94" w:rsidP="004B77CB">
            <w:pPr>
              <w:spacing w:after="160" w:line="360" w:lineRule="auto"/>
              <w:jc w:val="center"/>
              <w:rPr>
                <w:rFonts w:ascii="Times New Roman" w:hAnsi="Times New Roman" w:cs="Times New Roman"/>
                <w:sz w:val="24"/>
                <w:szCs w:val="24"/>
              </w:rPr>
            </w:pPr>
            <w:r w:rsidRPr="00061FBB">
              <w:rPr>
                <w:rFonts w:ascii="Times New Roman" w:hAnsi="Times New Roman" w:cs="Times New Roman"/>
                <w:sz w:val="24"/>
                <w:szCs w:val="24"/>
              </w:rPr>
              <w:t>Supernatural beliefs</w:t>
            </w:r>
          </w:p>
        </w:tc>
        <w:tc>
          <w:tcPr>
            <w:tcW w:w="0" w:type="auto"/>
            <w:vAlign w:val="center"/>
            <w:hideMark/>
          </w:tcPr>
          <w:p w14:paraId="5CD44070" w14:textId="77777777" w:rsidR="00505D94" w:rsidRPr="00061FBB" w:rsidRDefault="00505D94" w:rsidP="004B77CB">
            <w:pPr>
              <w:spacing w:after="160" w:line="360" w:lineRule="auto"/>
              <w:jc w:val="center"/>
              <w:rPr>
                <w:rFonts w:ascii="Times New Roman" w:hAnsi="Times New Roman" w:cs="Times New Roman"/>
                <w:sz w:val="24"/>
                <w:szCs w:val="24"/>
              </w:rPr>
            </w:pPr>
            <w:r w:rsidRPr="00061FBB">
              <w:rPr>
                <w:rFonts w:ascii="Times New Roman" w:hAnsi="Times New Roman" w:cs="Times New Roman"/>
                <w:sz w:val="24"/>
                <w:szCs w:val="24"/>
              </w:rPr>
              <w:t>Wrong practices</w:t>
            </w:r>
          </w:p>
        </w:tc>
      </w:tr>
      <w:tr w:rsidR="00505D94" w:rsidRPr="00061FBB" w14:paraId="1B86F1E0" w14:textId="77777777" w:rsidTr="00505D94">
        <w:trPr>
          <w:trHeight w:val="850"/>
          <w:jc w:val="center"/>
        </w:trPr>
        <w:tc>
          <w:tcPr>
            <w:tcW w:w="0" w:type="auto"/>
            <w:vAlign w:val="center"/>
            <w:hideMark/>
          </w:tcPr>
          <w:p w14:paraId="3216385C" w14:textId="77777777" w:rsidR="00505D94" w:rsidRPr="00061FBB" w:rsidRDefault="00505D94" w:rsidP="004B77CB">
            <w:pPr>
              <w:spacing w:after="160" w:line="360" w:lineRule="auto"/>
              <w:jc w:val="center"/>
              <w:rPr>
                <w:rFonts w:ascii="Times New Roman" w:hAnsi="Times New Roman" w:cs="Times New Roman"/>
                <w:sz w:val="24"/>
                <w:szCs w:val="24"/>
              </w:rPr>
            </w:pPr>
            <w:r w:rsidRPr="00061FBB">
              <w:rPr>
                <w:rFonts w:ascii="Times New Roman" w:hAnsi="Times New Roman" w:cs="Times New Roman"/>
                <w:sz w:val="24"/>
                <w:szCs w:val="24"/>
              </w:rPr>
              <w:lastRenderedPageBreak/>
              <w:t>Gender bias</w:t>
            </w:r>
          </w:p>
        </w:tc>
        <w:tc>
          <w:tcPr>
            <w:tcW w:w="0" w:type="auto"/>
            <w:vAlign w:val="center"/>
            <w:hideMark/>
          </w:tcPr>
          <w:p w14:paraId="197CFDBC" w14:textId="77777777" w:rsidR="00505D94" w:rsidRPr="00061FBB" w:rsidRDefault="00505D94" w:rsidP="004B77CB">
            <w:pPr>
              <w:spacing w:after="160" w:line="360" w:lineRule="auto"/>
              <w:jc w:val="center"/>
              <w:rPr>
                <w:rFonts w:ascii="Times New Roman" w:hAnsi="Times New Roman" w:cs="Times New Roman"/>
                <w:sz w:val="24"/>
                <w:szCs w:val="24"/>
              </w:rPr>
            </w:pPr>
            <w:r w:rsidRPr="00061FBB">
              <w:rPr>
                <w:rFonts w:ascii="Times New Roman" w:hAnsi="Times New Roman" w:cs="Times New Roman"/>
                <w:sz w:val="24"/>
                <w:szCs w:val="24"/>
              </w:rPr>
              <w:t>Women blamed</w:t>
            </w:r>
          </w:p>
        </w:tc>
        <w:tc>
          <w:tcPr>
            <w:tcW w:w="0" w:type="auto"/>
            <w:vAlign w:val="center"/>
            <w:hideMark/>
          </w:tcPr>
          <w:p w14:paraId="6B1EE6BE" w14:textId="77777777" w:rsidR="00505D94" w:rsidRPr="00061FBB" w:rsidRDefault="00505D94" w:rsidP="004B77CB">
            <w:pPr>
              <w:spacing w:after="160" w:line="360" w:lineRule="auto"/>
              <w:jc w:val="center"/>
              <w:rPr>
                <w:rFonts w:ascii="Times New Roman" w:hAnsi="Times New Roman" w:cs="Times New Roman"/>
                <w:sz w:val="24"/>
                <w:szCs w:val="24"/>
              </w:rPr>
            </w:pPr>
            <w:r w:rsidRPr="00061FBB">
              <w:rPr>
                <w:rFonts w:ascii="Times New Roman" w:hAnsi="Times New Roman" w:cs="Times New Roman"/>
                <w:sz w:val="24"/>
                <w:szCs w:val="24"/>
              </w:rPr>
              <w:t>Emotional distress</w:t>
            </w:r>
          </w:p>
        </w:tc>
      </w:tr>
      <w:tr w:rsidR="00505D94" w:rsidRPr="00061FBB" w14:paraId="0742674C" w14:textId="77777777" w:rsidTr="00505D94">
        <w:trPr>
          <w:trHeight w:val="850"/>
          <w:jc w:val="center"/>
        </w:trPr>
        <w:tc>
          <w:tcPr>
            <w:tcW w:w="0" w:type="auto"/>
            <w:vAlign w:val="center"/>
            <w:hideMark/>
          </w:tcPr>
          <w:p w14:paraId="22F9D2C1" w14:textId="77777777" w:rsidR="00505D94" w:rsidRPr="00061FBB" w:rsidRDefault="00505D94" w:rsidP="004B77CB">
            <w:pPr>
              <w:spacing w:after="160" w:line="360" w:lineRule="auto"/>
              <w:jc w:val="center"/>
              <w:rPr>
                <w:rFonts w:ascii="Times New Roman" w:hAnsi="Times New Roman" w:cs="Times New Roman"/>
                <w:sz w:val="24"/>
                <w:szCs w:val="24"/>
              </w:rPr>
            </w:pPr>
            <w:r w:rsidRPr="00061FBB">
              <w:rPr>
                <w:rFonts w:ascii="Times New Roman" w:hAnsi="Times New Roman" w:cs="Times New Roman"/>
                <w:sz w:val="24"/>
                <w:szCs w:val="24"/>
              </w:rPr>
              <w:t>Cost</w:t>
            </w:r>
          </w:p>
        </w:tc>
        <w:tc>
          <w:tcPr>
            <w:tcW w:w="0" w:type="auto"/>
            <w:vAlign w:val="center"/>
            <w:hideMark/>
          </w:tcPr>
          <w:p w14:paraId="6516E850" w14:textId="77777777" w:rsidR="00505D94" w:rsidRPr="00061FBB" w:rsidRDefault="00505D94" w:rsidP="004B77CB">
            <w:pPr>
              <w:spacing w:after="160" w:line="360" w:lineRule="auto"/>
              <w:jc w:val="center"/>
              <w:rPr>
                <w:rFonts w:ascii="Times New Roman" w:hAnsi="Times New Roman" w:cs="Times New Roman"/>
                <w:sz w:val="24"/>
                <w:szCs w:val="24"/>
              </w:rPr>
            </w:pPr>
            <w:r w:rsidRPr="00061FBB">
              <w:rPr>
                <w:rFonts w:ascii="Times New Roman" w:hAnsi="Times New Roman" w:cs="Times New Roman"/>
                <w:sz w:val="24"/>
                <w:szCs w:val="24"/>
              </w:rPr>
              <w:t>Expensive treatment</w:t>
            </w:r>
          </w:p>
        </w:tc>
        <w:tc>
          <w:tcPr>
            <w:tcW w:w="0" w:type="auto"/>
            <w:vAlign w:val="center"/>
            <w:hideMark/>
          </w:tcPr>
          <w:p w14:paraId="3ADB39BA" w14:textId="77777777" w:rsidR="00505D94" w:rsidRPr="00061FBB" w:rsidRDefault="00505D94" w:rsidP="004B77CB">
            <w:pPr>
              <w:spacing w:after="160" w:line="360" w:lineRule="auto"/>
              <w:jc w:val="center"/>
              <w:rPr>
                <w:rFonts w:ascii="Times New Roman" w:hAnsi="Times New Roman" w:cs="Times New Roman"/>
                <w:sz w:val="24"/>
                <w:szCs w:val="24"/>
              </w:rPr>
            </w:pPr>
            <w:r w:rsidRPr="00061FBB">
              <w:rPr>
                <w:rFonts w:ascii="Times New Roman" w:hAnsi="Times New Roman" w:cs="Times New Roman"/>
                <w:sz w:val="24"/>
                <w:szCs w:val="24"/>
              </w:rPr>
              <w:t>Limited access</w:t>
            </w:r>
          </w:p>
        </w:tc>
      </w:tr>
    </w:tbl>
    <w:p w14:paraId="1981701B" w14:textId="0829CFAC" w:rsidR="00505D94" w:rsidRPr="00061FBB" w:rsidRDefault="00505D94" w:rsidP="004B77CB">
      <w:pPr>
        <w:spacing w:line="360" w:lineRule="auto"/>
        <w:rPr>
          <w:rFonts w:ascii="Times New Roman" w:hAnsi="Times New Roman" w:cs="Times New Roman"/>
          <w:sz w:val="24"/>
          <w:szCs w:val="24"/>
        </w:rPr>
      </w:pPr>
    </w:p>
    <w:p w14:paraId="15B676B5" w14:textId="6518AFEB" w:rsidR="00505D94" w:rsidRPr="00061FBB" w:rsidRDefault="00505D94" w:rsidP="004B77CB">
      <w:pPr>
        <w:spacing w:line="360" w:lineRule="auto"/>
        <w:rPr>
          <w:rFonts w:ascii="Times New Roman" w:hAnsi="Times New Roman" w:cs="Times New Roman"/>
          <w:b/>
          <w:bCs/>
          <w:sz w:val="24"/>
          <w:szCs w:val="24"/>
        </w:rPr>
      </w:pPr>
      <w:r w:rsidRPr="00061FBB">
        <w:rPr>
          <w:rFonts w:ascii="Times New Roman" w:hAnsi="Times New Roman" w:cs="Times New Roman"/>
          <w:b/>
          <w:bCs/>
          <w:sz w:val="24"/>
          <w:szCs w:val="24"/>
        </w:rPr>
        <w:t>Role of Community Health Nurses in Early Detection</w:t>
      </w:r>
    </w:p>
    <w:p w14:paraId="1F900D74" w14:textId="77777777" w:rsidR="00500FA5" w:rsidRPr="00061FBB" w:rsidRDefault="00500FA5" w:rsidP="004B77CB">
      <w:pPr>
        <w:spacing w:line="360" w:lineRule="auto"/>
        <w:jc w:val="both"/>
        <w:rPr>
          <w:rFonts w:ascii="Times New Roman" w:hAnsi="Times New Roman" w:cs="Times New Roman"/>
          <w:sz w:val="24"/>
          <w:szCs w:val="24"/>
        </w:rPr>
      </w:pPr>
      <w:r w:rsidRPr="00061FBB">
        <w:rPr>
          <w:rFonts w:ascii="Times New Roman" w:hAnsi="Times New Roman" w:cs="Times New Roman"/>
          <w:sz w:val="24"/>
          <w:szCs w:val="24"/>
        </w:rPr>
        <w:t xml:space="preserve">Early detection is crucial in preventing long-term infertility complications and improving reproductive health outcomes, particularly in underserved rural populations where delays in diagnosis are common (World Health Organization, 2023). Identifying reproductive health issues at an early stage allows for timely medical intervention and increases the chances of successful treatment (Sharma et al., 2021). Community health nurses play a pivotal role in this process as they are often the first point of contact within the healthcare system in rural settings (Kumar &amp; Singh, 2020). Through regular home visits and community interactions, nurses conduct comprehensive assessments to identify potential risk factors such as menstrual irregularities, infections, hormonal imbalances, and lifestyle-related issues (Gupta et al., 2022). These assessments help in recognizing early warning signs that may otherwise go unnoticed due to lack of awareness among rural populations (Patel et al., 2019). Screening programs organized by community health nurses further support early detection by targeting high-risk groups and providing basic diagnostic services at the community level (Mehta et al., 2023). Early identification of conditions such as sexually transmitted infections and reproductive tract infections is essential, as untreated infections can lead to infertility over time (Singh et al., 2018). In addition to clinical screening, nurses also focus on educating individuals about reproductive health, hygiene practices, and the importance of seeking timely medical care (Verma &amp; Kaur, 2020). This educational component enhances awareness and encourages individuals to participate actively in preventive health practices (Bansal et al., 2021). Once a potential issue is identified, community health nurses facilitate timely referral to appropriate healthcare facilities for further diagnosis and specialized treatment (Choudhary et al., 2022). The referral system ensures that patients receive the necessary medical attention without unnecessary delays, which is critical in managing infertility effectively (Kaur et al., 2020). Follow-up care is another essential aspect of early detection, as it ensures adherence to treatment plans and monitors patient progress over time (Rao et al., 2022). Continuous follow-up also helps in identifying any complications or treatment failures at an early stage, allowing for timely adjustments in care (Agarwal et al., 2017). The process is clearly explained in Figure </w:t>
      </w:r>
      <w:r w:rsidRPr="00061FBB">
        <w:rPr>
          <w:rFonts w:ascii="Times New Roman" w:hAnsi="Times New Roman" w:cs="Times New Roman"/>
          <w:sz w:val="24"/>
          <w:szCs w:val="24"/>
        </w:rPr>
        <w:lastRenderedPageBreak/>
        <w:t>4, which illustrates the early detection cycle including assessment, screening, diagnosis, referral, and follow-up, emphasizing the continuous and cyclical nature of care provided at the community level (Nair et al., 2019). This cycle highlights how each step is interconnected and essential for achieving optimal health outcomes (Joshi et al., 2021). By integrating assessment, screening, referral, and follow-up into a unified framework, community health nurses ensure a holistic approach to infertility management (Mishra et al., 2021). This structured approach not only improves early detection rates but also reduces the burden of infertility by preventing complications and promoting timely intervention (Saxena et al., 2022). Furthermore, early detection strategies contribute to reducing healthcare costs by minimizing the need for advanced and expensive treatments at later stages (Thakur et al., 2022). Therefore, strengthening the role of community health nurses in early detection is essential for improving reproductive health outcomes and addressing infertility challenges in rural populations (Pandey et al., 2023).</w:t>
      </w:r>
    </w:p>
    <w:p w14:paraId="0D200100" w14:textId="0ECE689D" w:rsidR="00505D94" w:rsidRPr="00061FBB" w:rsidRDefault="00505D94" w:rsidP="004B77CB">
      <w:pPr>
        <w:spacing w:line="360" w:lineRule="auto"/>
        <w:rPr>
          <w:rFonts w:ascii="Times New Roman" w:hAnsi="Times New Roman" w:cs="Times New Roman"/>
          <w:sz w:val="24"/>
          <w:szCs w:val="24"/>
        </w:rPr>
      </w:pPr>
    </w:p>
    <w:p w14:paraId="2BECC55E" w14:textId="0F972B06" w:rsidR="00505D94" w:rsidRPr="00061FBB" w:rsidRDefault="00026B57" w:rsidP="004B77CB">
      <w:pPr>
        <w:spacing w:line="360" w:lineRule="auto"/>
        <w:jc w:val="center"/>
        <w:rPr>
          <w:rFonts w:ascii="Times New Roman" w:hAnsi="Times New Roman" w:cs="Times New Roman"/>
          <w:b/>
          <w:bCs/>
          <w:sz w:val="24"/>
          <w:szCs w:val="24"/>
        </w:rPr>
      </w:pPr>
      <w:r w:rsidRPr="00061FBB">
        <w:rPr>
          <w:rFonts w:ascii="Times New Roman" w:hAnsi="Times New Roman" w:cs="Times New Roman"/>
          <w:noProof/>
          <w:sz w:val="24"/>
          <w:szCs w:val="24"/>
          <w:lang w:val="en-US"/>
        </w:rPr>
        <w:drawing>
          <wp:inline distT="0" distB="0" distL="0" distR="0" wp14:anchorId="355A501C" wp14:editId="59FE756F">
            <wp:extent cx="5537693" cy="3228975"/>
            <wp:effectExtent l="0" t="0" r="6350" b="0"/>
            <wp:docPr id="162563930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5639307" name=""/>
                    <pic:cNvPicPr/>
                  </pic:nvPicPr>
                  <pic:blipFill rotWithShape="1">
                    <a:blip r:embed="rId11"/>
                    <a:srcRect l="11642" t="16464" r="10156"/>
                    <a:stretch/>
                  </pic:blipFill>
                  <pic:spPr bwMode="auto">
                    <a:xfrm>
                      <a:off x="0" y="0"/>
                      <a:ext cx="5554597" cy="3238831"/>
                    </a:xfrm>
                    <a:prstGeom prst="rect">
                      <a:avLst/>
                    </a:prstGeom>
                    <a:ln>
                      <a:noFill/>
                    </a:ln>
                    <a:extLst>
                      <a:ext uri="{53640926-AAD7-44D8-BBD7-CCE9431645EC}">
                        <a14:shadowObscured xmlns:a14="http://schemas.microsoft.com/office/drawing/2010/main"/>
                      </a:ext>
                    </a:extLst>
                  </pic:spPr>
                </pic:pic>
              </a:graphicData>
            </a:graphic>
          </wp:inline>
        </w:drawing>
      </w:r>
      <w:r w:rsidR="00505D94" w:rsidRPr="00061FBB">
        <w:rPr>
          <w:rFonts w:ascii="Times New Roman" w:hAnsi="Times New Roman" w:cs="Times New Roman"/>
          <w:sz w:val="24"/>
          <w:szCs w:val="24"/>
        </w:rPr>
        <w:br/>
      </w:r>
      <w:r w:rsidR="00505D94" w:rsidRPr="00061FBB">
        <w:rPr>
          <w:rFonts w:ascii="Times New Roman" w:hAnsi="Times New Roman" w:cs="Times New Roman"/>
          <w:b/>
          <w:bCs/>
          <w:sz w:val="24"/>
          <w:szCs w:val="24"/>
        </w:rPr>
        <w:t>Figure 4: Early detection cycle in community health nursing including assessment, screening, referral, and follow-up</w:t>
      </w:r>
    </w:p>
    <w:p w14:paraId="355C741A" w14:textId="7FD14C4E" w:rsidR="00505D94" w:rsidRPr="00061FBB" w:rsidRDefault="00505D94" w:rsidP="004B77CB">
      <w:pPr>
        <w:spacing w:line="360" w:lineRule="auto"/>
        <w:rPr>
          <w:rFonts w:ascii="Times New Roman" w:hAnsi="Times New Roman" w:cs="Times New Roman"/>
          <w:b/>
          <w:bCs/>
          <w:sz w:val="24"/>
          <w:szCs w:val="24"/>
        </w:rPr>
      </w:pPr>
      <w:r w:rsidRPr="00061FBB">
        <w:rPr>
          <w:rFonts w:ascii="Times New Roman" w:hAnsi="Times New Roman" w:cs="Times New Roman"/>
          <w:b/>
          <w:bCs/>
          <w:sz w:val="24"/>
          <w:szCs w:val="24"/>
        </w:rPr>
        <w:t>Screening and Preventive Strategies</w:t>
      </w:r>
    </w:p>
    <w:p w14:paraId="1371DF21" w14:textId="11EBFE4A" w:rsidR="00500FA5" w:rsidRPr="00061FBB" w:rsidRDefault="00500FA5" w:rsidP="004B77CB">
      <w:pPr>
        <w:spacing w:line="360" w:lineRule="auto"/>
        <w:jc w:val="both"/>
        <w:rPr>
          <w:rFonts w:ascii="Times New Roman" w:hAnsi="Times New Roman" w:cs="Times New Roman"/>
          <w:sz w:val="24"/>
          <w:szCs w:val="24"/>
        </w:rPr>
      </w:pPr>
      <w:r w:rsidRPr="00061FBB">
        <w:rPr>
          <w:rFonts w:ascii="Times New Roman" w:hAnsi="Times New Roman" w:cs="Times New Roman"/>
          <w:sz w:val="24"/>
          <w:szCs w:val="24"/>
        </w:rPr>
        <w:t xml:space="preserve">Screening programs play a vital role in identifying reproductive health issues such as infections, hormonal disorders, and other underlying conditions that may contribute to </w:t>
      </w:r>
      <w:r w:rsidRPr="00061FBB">
        <w:rPr>
          <w:rFonts w:ascii="Times New Roman" w:hAnsi="Times New Roman" w:cs="Times New Roman"/>
          <w:sz w:val="24"/>
          <w:szCs w:val="24"/>
        </w:rPr>
        <w:lastRenderedPageBreak/>
        <w:t>infertility, particularly in rural populations where access to specialized healthcare services is limited (World Health Organization, 2022). Early screening helps in detecting conditions like sexually transmitted infections, reproductive tract infections, and endocrine imbalances before they progress into severe complications affecting fertility (Sharma et al., 2021). Community-based interventions are especially effective in rural settings because they bring healthcare services closer to the population, thereby reducing barriers related to distance, cost, and awareness (Kumar &amp; Singh, 2020). Outreach camps organized by community health nurses provide an opportunity for mass screening, health check-ups, and dissemination of reproductive health information (Gupta et al., 2021). These camps are often conducted in collaboration with local health authorities and play a significant role in reaching underserved communities (Patel et al., 2019). Home visits are another essential strategy, allowing nurses to assess individuals in their own environment, identify risk factors, and provide personalized guidance (Rao et al., 2022). Door-to-door screening enhances coverage and ensures that even those who are unable or unwilling to visit healthcare facilities receive basic health services (Mehta et al., 2023). Awareness activities conducted during these interventions help educate individuals about reproductive health, hygiene, and the importance of early diagnosis and treatment (Verma &amp; Kaur, 2020). Such educational efforts are crucial in dispelling myths and encouraging proactive health-seeking behavior (Bansal et al., 2021). The integration of screening and education ensures a comprehensive approach to infertility prevention (Singh et al., 2019). These strategies are visually represented in Figure 5, which depicts a community-based screening model involving health camps, door-to-door visits, and awareness activities conducted by nurses, highlighting their proactive role in prevention (Choudhary et al., 2022). This model emphasizes the importance of accessibility, community participation, and continuous engagement in improving reproductive health outcomes (Kaur</w:t>
      </w:r>
      <w:r w:rsidR="0010259B" w:rsidRPr="00061FBB">
        <w:rPr>
          <w:rFonts w:ascii="Times New Roman" w:hAnsi="Times New Roman" w:cs="Times New Roman"/>
          <w:sz w:val="24"/>
          <w:szCs w:val="24"/>
        </w:rPr>
        <w:t xml:space="preserve"> </w:t>
      </w:r>
      <w:r w:rsidRPr="00061FBB">
        <w:rPr>
          <w:rFonts w:ascii="Times New Roman" w:hAnsi="Times New Roman" w:cs="Times New Roman"/>
          <w:sz w:val="24"/>
          <w:szCs w:val="24"/>
        </w:rPr>
        <w:t>et al., 2020).</w:t>
      </w:r>
    </w:p>
    <w:p w14:paraId="6233B65A" w14:textId="26EC5B07" w:rsidR="0010259B" w:rsidRPr="00061FBB" w:rsidRDefault="00026B57" w:rsidP="004B77CB">
      <w:pPr>
        <w:spacing w:line="360" w:lineRule="auto"/>
        <w:jc w:val="center"/>
        <w:rPr>
          <w:rFonts w:ascii="Times New Roman" w:hAnsi="Times New Roman" w:cs="Times New Roman"/>
          <w:sz w:val="24"/>
          <w:szCs w:val="24"/>
        </w:rPr>
      </w:pPr>
      <w:r w:rsidRPr="00061FBB">
        <w:rPr>
          <w:rFonts w:ascii="Times New Roman" w:hAnsi="Times New Roman" w:cs="Times New Roman"/>
          <w:noProof/>
          <w:sz w:val="24"/>
          <w:szCs w:val="24"/>
          <w:lang w:val="en-US"/>
        </w:rPr>
        <w:lastRenderedPageBreak/>
        <w:drawing>
          <wp:inline distT="0" distB="0" distL="0" distR="0" wp14:anchorId="546CD95C" wp14:editId="05B8ACB2">
            <wp:extent cx="5601168" cy="2625725"/>
            <wp:effectExtent l="0" t="0" r="0" b="3175"/>
            <wp:docPr id="156720680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7206800" name=""/>
                    <pic:cNvPicPr/>
                  </pic:nvPicPr>
                  <pic:blipFill rotWithShape="1">
                    <a:blip r:embed="rId12"/>
                    <a:srcRect t="14121"/>
                    <a:stretch/>
                  </pic:blipFill>
                  <pic:spPr bwMode="auto">
                    <a:xfrm>
                      <a:off x="0" y="0"/>
                      <a:ext cx="5618231" cy="2633724"/>
                    </a:xfrm>
                    <a:prstGeom prst="rect">
                      <a:avLst/>
                    </a:prstGeom>
                    <a:ln>
                      <a:noFill/>
                    </a:ln>
                    <a:extLst>
                      <a:ext uri="{53640926-AAD7-44D8-BBD7-CCE9431645EC}">
                        <a14:shadowObscured xmlns:a14="http://schemas.microsoft.com/office/drawing/2010/main"/>
                      </a:ext>
                    </a:extLst>
                  </pic:spPr>
                </pic:pic>
              </a:graphicData>
            </a:graphic>
          </wp:inline>
        </w:drawing>
      </w:r>
    </w:p>
    <w:p w14:paraId="681C527E" w14:textId="77777777" w:rsidR="00B86B08" w:rsidRPr="00061FBB" w:rsidRDefault="00500FA5" w:rsidP="004B77CB">
      <w:pPr>
        <w:spacing w:line="360" w:lineRule="auto"/>
        <w:jc w:val="center"/>
        <w:rPr>
          <w:rFonts w:ascii="Times New Roman" w:hAnsi="Times New Roman" w:cs="Times New Roman"/>
          <w:b/>
          <w:bCs/>
          <w:sz w:val="24"/>
          <w:szCs w:val="24"/>
        </w:rPr>
      </w:pPr>
      <w:r w:rsidRPr="00061FBB">
        <w:rPr>
          <w:rFonts w:ascii="Times New Roman" w:hAnsi="Times New Roman" w:cs="Times New Roman"/>
          <w:b/>
          <w:bCs/>
          <w:sz w:val="24"/>
          <w:szCs w:val="24"/>
        </w:rPr>
        <w:t>Figure 5: Community-based screening model for infertility detection through outreach and home visits</w:t>
      </w:r>
    </w:p>
    <w:p w14:paraId="530F77BD" w14:textId="77777777" w:rsidR="00B86B08" w:rsidRPr="00061FBB" w:rsidRDefault="00500FA5" w:rsidP="004B77CB">
      <w:pPr>
        <w:spacing w:line="360" w:lineRule="auto"/>
        <w:jc w:val="both"/>
        <w:rPr>
          <w:rFonts w:ascii="Times New Roman" w:hAnsi="Times New Roman" w:cs="Times New Roman"/>
          <w:sz w:val="24"/>
          <w:szCs w:val="24"/>
        </w:rPr>
      </w:pPr>
      <w:r w:rsidRPr="00061FBB">
        <w:rPr>
          <w:rFonts w:ascii="Times New Roman" w:hAnsi="Times New Roman" w:cs="Times New Roman"/>
          <w:sz w:val="24"/>
          <w:szCs w:val="24"/>
        </w:rPr>
        <w:t>In addition to screening, preventive approaches such as vaccination, nutritional counseling, and lifestyle modification play a significant role in reducing infertility risks (Agarwal et al., 2018). Nutritional interventions help maintain hormonal balance and overall reproductive health (Joshi et al., 2021). Vaccination programs, particularly against infections that may affect fertility, contribute to long-term prevention (Nair et al., 2019). Counseling on healthy lifestyle practices such as maintaining a balanced diet, avoiding substance abuse, and managing stress further supports reproductive well-being (Mishra et al., 2021). Additionally, regular follow-up ensures that identified cases receive appropriate care and adhere to treatment recommendations (Saxena et al., 2022). These preventive approaches are systematically summarized in Table 2, which presents various strategies along with their descriptions and expected outcomes in reducing infertility risks, reinforcing the importance of early intervention (Thakur et al., 2022).</w:t>
      </w:r>
    </w:p>
    <w:p w14:paraId="4ACEB4C8" w14:textId="0072E6DE" w:rsidR="00505D94" w:rsidRPr="00061FBB" w:rsidRDefault="008B2B9A" w:rsidP="004B77CB">
      <w:pPr>
        <w:spacing w:line="360" w:lineRule="auto"/>
        <w:jc w:val="center"/>
        <w:rPr>
          <w:rFonts w:ascii="Times New Roman" w:hAnsi="Times New Roman" w:cs="Times New Roman"/>
          <w:b/>
          <w:bCs/>
          <w:sz w:val="24"/>
          <w:szCs w:val="24"/>
        </w:rPr>
      </w:pPr>
      <w:r w:rsidRPr="00061FBB">
        <w:rPr>
          <w:rFonts w:ascii="Times New Roman" w:hAnsi="Times New Roman" w:cs="Times New Roman"/>
          <w:b/>
          <w:bCs/>
          <w:sz w:val="24"/>
          <w:szCs w:val="24"/>
        </w:rPr>
        <w:t>Table 2: Preventive strategies implemented by community health nurses to reduce infertility risk</w:t>
      </w:r>
    </w:p>
    <w:tbl>
      <w:tblPr>
        <w:tblStyle w:val="TableGrid"/>
        <w:tblW w:w="0" w:type="auto"/>
        <w:jc w:val="center"/>
        <w:tblLook w:val="04A0" w:firstRow="1" w:lastRow="0" w:firstColumn="1" w:lastColumn="0" w:noHBand="0" w:noVBand="1"/>
      </w:tblPr>
      <w:tblGrid>
        <w:gridCol w:w="2214"/>
        <w:gridCol w:w="2389"/>
        <w:gridCol w:w="2722"/>
      </w:tblGrid>
      <w:tr w:rsidR="00505D94" w:rsidRPr="00061FBB" w14:paraId="269AD642" w14:textId="77777777" w:rsidTr="008B2B9A">
        <w:trPr>
          <w:trHeight w:val="850"/>
          <w:jc w:val="center"/>
        </w:trPr>
        <w:tc>
          <w:tcPr>
            <w:tcW w:w="0" w:type="auto"/>
            <w:vAlign w:val="center"/>
            <w:hideMark/>
          </w:tcPr>
          <w:p w14:paraId="76FA3751" w14:textId="77777777" w:rsidR="00505D94" w:rsidRPr="00061FBB" w:rsidRDefault="00505D94" w:rsidP="004B77CB">
            <w:pPr>
              <w:spacing w:after="160" w:line="360" w:lineRule="auto"/>
              <w:jc w:val="center"/>
              <w:rPr>
                <w:rFonts w:ascii="Times New Roman" w:hAnsi="Times New Roman" w:cs="Times New Roman"/>
                <w:b/>
                <w:bCs/>
                <w:sz w:val="24"/>
                <w:szCs w:val="24"/>
              </w:rPr>
            </w:pPr>
            <w:r w:rsidRPr="00061FBB">
              <w:rPr>
                <w:rFonts w:ascii="Times New Roman" w:hAnsi="Times New Roman" w:cs="Times New Roman"/>
                <w:b/>
                <w:bCs/>
                <w:sz w:val="24"/>
                <w:szCs w:val="24"/>
              </w:rPr>
              <w:t>Strategy</w:t>
            </w:r>
          </w:p>
        </w:tc>
        <w:tc>
          <w:tcPr>
            <w:tcW w:w="0" w:type="auto"/>
            <w:vAlign w:val="center"/>
            <w:hideMark/>
          </w:tcPr>
          <w:p w14:paraId="78291662" w14:textId="77777777" w:rsidR="00505D94" w:rsidRPr="00061FBB" w:rsidRDefault="00505D94" w:rsidP="004B77CB">
            <w:pPr>
              <w:spacing w:after="160" w:line="360" w:lineRule="auto"/>
              <w:jc w:val="center"/>
              <w:rPr>
                <w:rFonts w:ascii="Times New Roman" w:hAnsi="Times New Roman" w:cs="Times New Roman"/>
                <w:b/>
                <w:bCs/>
                <w:sz w:val="24"/>
                <w:szCs w:val="24"/>
              </w:rPr>
            </w:pPr>
            <w:r w:rsidRPr="00061FBB">
              <w:rPr>
                <w:rFonts w:ascii="Times New Roman" w:hAnsi="Times New Roman" w:cs="Times New Roman"/>
                <w:b/>
                <w:bCs/>
                <w:sz w:val="24"/>
                <w:szCs w:val="24"/>
              </w:rPr>
              <w:t>Description</w:t>
            </w:r>
          </w:p>
        </w:tc>
        <w:tc>
          <w:tcPr>
            <w:tcW w:w="0" w:type="auto"/>
            <w:vAlign w:val="center"/>
            <w:hideMark/>
          </w:tcPr>
          <w:p w14:paraId="5B4CA676" w14:textId="77777777" w:rsidR="00505D94" w:rsidRPr="00061FBB" w:rsidRDefault="00505D94" w:rsidP="004B77CB">
            <w:pPr>
              <w:spacing w:after="160" w:line="360" w:lineRule="auto"/>
              <w:jc w:val="center"/>
              <w:rPr>
                <w:rFonts w:ascii="Times New Roman" w:hAnsi="Times New Roman" w:cs="Times New Roman"/>
                <w:b/>
                <w:bCs/>
                <w:sz w:val="24"/>
                <w:szCs w:val="24"/>
              </w:rPr>
            </w:pPr>
            <w:r w:rsidRPr="00061FBB">
              <w:rPr>
                <w:rFonts w:ascii="Times New Roman" w:hAnsi="Times New Roman" w:cs="Times New Roman"/>
                <w:b/>
                <w:bCs/>
                <w:sz w:val="24"/>
                <w:szCs w:val="24"/>
              </w:rPr>
              <w:t>Outcome</w:t>
            </w:r>
          </w:p>
        </w:tc>
      </w:tr>
      <w:tr w:rsidR="00505D94" w:rsidRPr="00061FBB" w14:paraId="727B5F40" w14:textId="77777777" w:rsidTr="008B2B9A">
        <w:trPr>
          <w:trHeight w:val="850"/>
          <w:jc w:val="center"/>
        </w:trPr>
        <w:tc>
          <w:tcPr>
            <w:tcW w:w="0" w:type="auto"/>
            <w:vAlign w:val="center"/>
            <w:hideMark/>
          </w:tcPr>
          <w:p w14:paraId="1D1A7034" w14:textId="77777777" w:rsidR="00505D94" w:rsidRPr="00061FBB" w:rsidRDefault="00505D94" w:rsidP="004B77CB">
            <w:pPr>
              <w:spacing w:after="160" w:line="360" w:lineRule="auto"/>
              <w:jc w:val="center"/>
              <w:rPr>
                <w:rFonts w:ascii="Times New Roman" w:hAnsi="Times New Roman" w:cs="Times New Roman"/>
                <w:sz w:val="24"/>
                <w:szCs w:val="24"/>
              </w:rPr>
            </w:pPr>
            <w:r w:rsidRPr="00061FBB">
              <w:rPr>
                <w:rFonts w:ascii="Times New Roman" w:hAnsi="Times New Roman" w:cs="Times New Roman"/>
                <w:sz w:val="24"/>
                <w:szCs w:val="24"/>
              </w:rPr>
              <w:t>STI screening</w:t>
            </w:r>
          </w:p>
        </w:tc>
        <w:tc>
          <w:tcPr>
            <w:tcW w:w="0" w:type="auto"/>
            <w:vAlign w:val="center"/>
            <w:hideMark/>
          </w:tcPr>
          <w:p w14:paraId="1A4F46A5" w14:textId="77777777" w:rsidR="00505D94" w:rsidRPr="00061FBB" w:rsidRDefault="00505D94" w:rsidP="004B77CB">
            <w:pPr>
              <w:spacing w:after="160" w:line="360" w:lineRule="auto"/>
              <w:jc w:val="center"/>
              <w:rPr>
                <w:rFonts w:ascii="Times New Roman" w:hAnsi="Times New Roman" w:cs="Times New Roman"/>
                <w:sz w:val="24"/>
                <w:szCs w:val="24"/>
              </w:rPr>
            </w:pPr>
            <w:r w:rsidRPr="00061FBB">
              <w:rPr>
                <w:rFonts w:ascii="Times New Roman" w:hAnsi="Times New Roman" w:cs="Times New Roman"/>
                <w:sz w:val="24"/>
                <w:szCs w:val="24"/>
              </w:rPr>
              <w:t>Detect infections early</w:t>
            </w:r>
          </w:p>
        </w:tc>
        <w:tc>
          <w:tcPr>
            <w:tcW w:w="0" w:type="auto"/>
            <w:vAlign w:val="center"/>
            <w:hideMark/>
          </w:tcPr>
          <w:p w14:paraId="6E55F3EB" w14:textId="77777777" w:rsidR="00505D94" w:rsidRPr="00061FBB" w:rsidRDefault="00505D94" w:rsidP="004B77CB">
            <w:pPr>
              <w:spacing w:after="160" w:line="360" w:lineRule="auto"/>
              <w:jc w:val="center"/>
              <w:rPr>
                <w:rFonts w:ascii="Times New Roman" w:hAnsi="Times New Roman" w:cs="Times New Roman"/>
                <w:sz w:val="24"/>
                <w:szCs w:val="24"/>
              </w:rPr>
            </w:pPr>
            <w:r w:rsidRPr="00061FBB">
              <w:rPr>
                <w:rFonts w:ascii="Times New Roman" w:hAnsi="Times New Roman" w:cs="Times New Roman"/>
                <w:sz w:val="24"/>
                <w:szCs w:val="24"/>
              </w:rPr>
              <w:t>Reduced infertility</w:t>
            </w:r>
          </w:p>
        </w:tc>
      </w:tr>
      <w:tr w:rsidR="00505D94" w:rsidRPr="00061FBB" w14:paraId="49E6F291" w14:textId="77777777" w:rsidTr="008B2B9A">
        <w:trPr>
          <w:trHeight w:val="850"/>
          <w:jc w:val="center"/>
        </w:trPr>
        <w:tc>
          <w:tcPr>
            <w:tcW w:w="0" w:type="auto"/>
            <w:vAlign w:val="center"/>
            <w:hideMark/>
          </w:tcPr>
          <w:p w14:paraId="02021536" w14:textId="77777777" w:rsidR="00505D94" w:rsidRPr="00061FBB" w:rsidRDefault="00505D94" w:rsidP="004B77CB">
            <w:pPr>
              <w:spacing w:after="160" w:line="360" w:lineRule="auto"/>
              <w:jc w:val="center"/>
              <w:rPr>
                <w:rFonts w:ascii="Times New Roman" w:hAnsi="Times New Roman" w:cs="Times New Roman"/>
                <w:sz w:val="24"/>
                <w:szCs w:val="24"/>
              </w:rPr>
            </w:pPr>
            <w:r w:rsidRPr="00061FBB">
              <w:rPr>
                <w:rFonts w:ascii="Times New Roman" w:hAnsi="Times New Roman" w:cs="Times New Roman"/>
                <w:sz w:val="24"/>
                <w:szCs w:val="24"/>
              </w:rPr>
              <w:lastRenderedPageBreak/>
              <w:t>Awareness programs</w:t>
            </w:r>
          </w:p>
        </w:tc>
        <w:tc>
          <w:tcPr>
            <w:tcW w:w="0" w:type="auto"/>
            <w:vAlign w:val="center"/>
            <w:hideMark/>
          </w:tcPr>
          <w:p w14:paraId="24F46EF1" w14:textId="77777777" w:rsidR="00505D94" w:rsidRPr="00061FBB" w:rsidRDefault="00505D94" w:rsidP="004B77CB">
            <w:pPr>
              <w:spacing w:after="160" w:line="360" w:lineRule="auto"/>
              <w:jc w:val="center"/>
              <w:rPr>
                <w:rFonts w:ascii="Times New Roman" w:hAnsi="Times New Roman" w:cs="Times New Roman"/>
                <w:sz w:val="24"/>
                <w:szCs w:val="24"/>
              </w:rPr>
            </w:pPr>
            <w:r w:rsidRPr="00061FBB">
              <w:rPr>
                <w:rFonts w:ascii="Times New Roman" w:hAnsi="Times New Roman" w:cs="Times New Roman"/>
                <w:sz w:val="24"/>
                <w:szCs w:val="24"/>
              </w:rPr>
              <w:t>Educate community</w:t>
            </w:r>
          </w:p>
        </w:tc>
        <w:tc>
          <w:tcPr>
            <w:tcW w:w="0" w:type="auto"/>
            <w:vAlign w:val="center"/>
            <w:hideMark/>
          </w:tcPr>
          <w:p w14:paraId="5050E17A" w14:textId="77777777" w:rsidR="00505D94" w:rsidRPr="00061FBB" w:rsidRDefault="00505D94" w:rsidP="004B77CB">
            <w:pPr>
              <w:spacing w:after="160" w:line="360" w:lineRule="auto"/>
              <w:jc w:val="center"/>
              <w:rPr>
                <w:rFonts w:ascii="Times New Roman" w:hAnsi="Times New Roman" w:cs="Times New Roman"/>
                <w:sz w:val="24"/>
                <w:szCs w:val="24"/>
              </w:rPr>
            </w:pPr>
            <w:r w:rsidRPr="00061FBB">
              <w:rPr>
                <w:rFonts w:ascii="Times New Roman" w:hAnsi="Times New Roman" w:cs="Times New Roman"/>
                <w:sz w:val="24"/>
                <w:szCs w:val="24"/>
              </w:rPr>
              <w:t>Improved knowledge</w:t>
            </w:r>
          </w:p>
        </w:tc>
      </w:tr>
      <w:tr w:rsidR="00505D94" w:rsidRPr="00061FBB" w14:paraId="5FF3E2BD" w14:textId="77777777" w:rsidTr="008B2B9A">
        <w:trPr>
          <w:trHeight w:val="850"/>
          <w:jc w:val="center"/>
        </w:trPr>
        <w:tc>
          <w:tcPr>
            <w:tcW w:w="0" w:type="auto"/>
            <w:vAlign w:val="center"/>
            <w:hideMark/>
          </w:tcPr>
          <w:p w14:paraId="3BF47812" w14:textId="77777777" w:rsidR="00505D94" w:rsidRPr="00061FBB" w:rsidRDefault="00505D94" w:rsidP="004B77CB">
            <w:pPr>
              <w:spacing w:after="160" w:line="360" w:lineRule="auto"/>
              <w:jc w:val="center"/>
              <w:rPr>
                <w:rFonts w:ascii="Times New Roman" w:hAnsi="Times New Roman" w:cs="Times New Roman"/>
                <w:sz w:val="24"/>
                <w:szCs w:val="24"/>
              </w:rPr>
            </w:pPr>
            <w:r w:rsidRPr="00061FBB">
              <w:rPr>
                <w:rFonts w:ascii="Times New Roman" w:hAnsi="Times New Roman" w:cs="Times New Roman"/>
                <w:sz w:val="24"/>
                <w:szCs w:val="24"/>
              </w:rPr>
              <w:t>Nutrition counseling</w:t>
            </w:r>
          </w:p>
        </w:tc>
        <w:tc>
          <w:tcPr>
            <w:tcW w:w="0" w:type="auto"/>
            <w:vAlign w:val="center"/>
            <w:hideMark/>
          </w:tcPr>
          <w:p w14:paraId="2CAF2AC0" w14:textId="77777777" w:rsidR="00505D94" w:rsidRPr="00061FBB" w:rsidRDefault="00505D94" w:rsidP="004B77CB">
            <w:pPr>
              <w:spacing w:after="160" w:line="360" w:lineRule="auto"/>
              <w:jc w:val="center"/>
              <w:rPr>
                <w:rFonts w:ascii="Times New Roman" w:hAnsi="Times New Roman" w:cs="Times New Roman"/>
                <w:sz w:val="24"/>
                <w:szCs w:val="24"/>
              </w:rPr>
            </w:pPr>
            <w:r w:rsidRPr="00061FBB">
              <w:rPr>
                <w:rFonts w:ascii="Times New Roman" w:hAnsi="Times New Roman" w:cs="Times New Roman"/>
                <w:sz w:val="24"/>
                <w:szCs w:val="24"/>
              </w:rPr>
              <w:t>Healthy diet</w:t>
            </w:r>
          </w:p>
        </w:tc>
        <w:tc>
          <w:tcPr>
            <w:tcW w:w="0" w:type="auto"/>
            <w:vAlign w:val="center"/>
            <w:hideMark/>
          </w:tcPr>
          <w:p w14:paraId="5707C3EB" w14:textId="77777777" w:rsidR="00505D94" w:rsidRPr="00061FBB" w:rsidRDefault="00505D94" w:rsidP="004B77CB">
            <w:pPr>
              <w:spacing w:after="160" w:line="360" w:lineRule="auto"/>
              <w:jc w:val="center"/>
              <w:rPr>
                <w:rFonts w:ascii="Times New Roman" w:hAnsi="Times New Roman" w:cs="Times New Roman"/>
                <w:sz w:val="24"/>
                <w:szCs w:val="24"/>
              </w:rPr>
            </w:pPr>
            <w:r w:rsidRPr="00061FBB">
              <w:rPr>
                <w:rFonts w:ascii="Times New Roman" w:hAnsi="Times New Roman" w:cs="Times New Roman"/>
                <w:sz w:val="24"/>
                <w:szCs w:val="24"/>
              </w:rPr>
              <w:t>Hormonal balance</w:t>
            </w:r>
          </w:p>
        </w:tc>
      </w:tr>
      <w:tr w:rsidR="00505D94" w:rsidRPr="00061FBB" w14:paraId="66C532D8" w14:textId="77777777" w:rsidTr="008B2B9A">
        <w:trPr>
          <w:trHeight w:val="850"/>
          <w:jc w:val="center"/>
        </w:trPr>
        <w:tc>
          <w:tcPr>
            <w:tcW w:w="0" w:type="auto"/>
            <w:vAlign w:val="center"/>
            <w:hideMark/>
          </w:tcPr>
          <w:p w14:paraId="2A4E5ABB" w14:textId="77777777" w:rsidR="00505D94" w:rsidRPr="00061FBB" w:rsidRDefault="00505D94" w:rsidP="004B77CB">
            <w:pPr>
              <w:spacing w:after="160" w:line="360" w:lineRule="auto"/>
              <w:jc w:val="center"/>
              <w:rPr>
                <w:rFonts w:ascii="Times New Roman" w:hAnsi="Times New Roman" w:cs="Times New Roman"/>
                <w:sz w:val="24"/>
                <w:szCs w:val="24"/>
              </w:rPr>
            </w:pPr>
            <w:r w:rsidRPr="00061FBB">
              <w:rPr>
                <w:rFonts w:ascii="Times New Roman" w:hAnsi="Times New Roman" w:cs="Times New Roman"/>
                <w:sz w:val="24"/>
                <w:szCs w:val="24"/>
              </w:rPr>
              <w:t>Immunization</w:t>
            </w:r>
          </w:p>
        </w:tc>
        <w:tc>
          <w:tcPr>
            <w:tcW w:w="0" w:type="auto"/>
            <w:vAlign w:val="center"/>
            <w:hideMark/>
          </w:tcPr>
          <w:p w14:paraId="1AFB8B42" w14:textId="77777777" w:rsidR="00505D94" w:rsidRPr="00061FBB" w:rsidRDefault="00505D94" w:rsidP="004B77CB">
            <w:pPr>
              <w:spacing w:after="160" w:line="360" w:lineRule="auto"/>
              <w:jc w:val="center"/>
              <w:rPr>
                <w:rFonts w:ascii="Times New Roman" w:hAnsi="Times New Roman" w:cs="Times New Roman"/>
                <w:sz w:val="24"/>
                <w:szCs w:val="24"/>
              </w:rPr>
            </w:pPr>
            <w:r w:rsidRPr="00061FBB">
              <w:rPr>
                <w:rFonts w:ascii="Times New Roman" w:hAnsi="Times New Roman" w:cs="Times New Roman"/>
                <w:sz w:val="24"/>
                <w:szCs w:val="24"/>
              </w:rPr>
              <w:t>Prevent infections</w:t>
            </w:r>
          </w:p>
        </w:tc>
        <w:tc>
          <w:tcPr>
            <w:tcW w:w="0" w:type="auto"/>
            <w:vAlign w:val="center"/>
            <w:hideMark/>
          </w:tcPr>
          <w:p w14:paraId="3F1A15DA" w14:textId="77777777" w:rsidR="00505D94" w:rsidRPr="00061FBB" w:rsidRDefault="00505D94" w:rsidP="004B77CB">
            <w:pPr>
              <w:spacing w:after="160" w:line="360" w:lineRule="auto"/>
              <w:jc w:val="center"/>
              <w:rPr>
                <w:rFonts w:ascii="Times New Roman" w:hAnsi="Times New Roman" w:cs="Times New Roman"/>
                <w:sz w:val="24"/>
                <w:szCs w:val="24"/>
              </w:rPr>
            </w:pPr>
            <w:r w:rsidRPr="00061FBB">
              <w:rPr>
                <w:rFonts w:ascii="Times New Roman" w:hAnsi="Times New Roman" w:cs="Times New Roman"/>
                <w:sz w:val="24"/>
                <w:szCs w:val="24"/>
              </w:rPr>
              <w:t>Better reproductive health</w:t>
            </w:r>
          </w:p>
        </w:tc>
      </w:tr>
    </w:tbl>
    <w:p w14:paraId="363C82D4" w14:textId="71CD63CD" w:rsidR="00505D94" w:rsidRPr="00061FBB" w:rsidRDefault="00505D94" w:rsidP="004B77CB">
      <w:pPr>
        <w:spacing w:line="360" w:lineRule="auto"/>
        <w:rPr>
          <w:rFonts w:ascii="Times New Roman" w:hAnsi="Times New Roman" w:cs="Times New Roman"/>
          <w:sz w:val="24"/>
          <w:szCs w:val="24"/>
        </w:rPr>
      </w:pPr>
    </w:p>
    <w:p w14:paraId="4A73CA3E" w14:textId="4F4DE1A1" w:rsidR="00505D94" w:rsidRPr="00061FBB" w:rsidRDefault="00505D94" w:rsidP="004B77CB">
      <w:pPr>
        <w:spacing w:line="360" w:lineRule="auto"/>
        <w:rPr>
          <w:rFonts w:ascii="Times New Roman" w:hAnsi="Times New Roman" w:cs="Times New Roman"/>
          <w:b/>
          <w:bCs/>
          <w:sz w:val="24"/>
          <w:szCs w:val="24"/>
        </w:rPr>
      </w:pPr>
      <w:r w:rsidRPr="00061FBB">
        <w:rPr>
          <w:rFonts w:ascii="Times New Roman" w:hAnsi="Times New Roman" w:cs="Times New Roman"/>
          <w:b/>
          <w:bCs/>
          <w:sz w:val="24"/>
          <w:szCs w:val="24"/>
        </w:rPr>
        <w:t xml:space="preserve"> Health Education and Awareness</w:t>
      </w:r>
    </w:p>
    <w:p w14:paraId="581FCF6B" w14:textId="13716422" w:rsidR="00500FA5" w:rsidRPr="00061FBB" w:rsidRDefault="00500FA5" w:rsidP="004B77CB">
      <w:pPr>
        <w:spacing w:line="360" w:lineRule="auto"/>
        <w:jc w:val="both"/>
        <w:rPr>
          <w:rFonts w:ascii="Times New Roman" w:hAnsi="Times New Roman" w:cs="Times New Roman"/>
          <w:sz w:val="24"/>
          <w:szCs w:val="24"/>
        </w:rPr>
      </w:pPr>
      <w:r w:rsidRPr="00061FBB">
        <w:rPr>
          <w:rFonts w:ascii="Times New Roman" w:hAnsi="Times New Roman" w:cs="Times New Roman"/>
          <w:sz w:val="24"/>
          <w:szCs w:val="24"/>
        </w:rPr>
        <w:t xml:space="preserve">Health education is a key responsibility of community health nurses, as it helps dispel myths and promotes informed decision-making among individuals and families, especially in rural populations where misconceptions about infertility are widespread (World Health Organization, 2022). Effective health education empowers individuals with accurate knowledge about reproductive health, fertility, and available treatment options, thereby encouraging timely healthcare-seeking behavior (Sharma et al., 2021). Community health nurses play a central role in designing and delivering educational interventions that are culturally appropriate and easy to understand (Kumar &amp; Singh, 2020). They use simple language, visual aids, and interactive methods to ensure that information is accessible even to populations with low literacy levels (Gupta et al., 2021). Education programs often focus on correcting false beliefs related to infertility, such as attributing it solely to women or linking it to supernatural causes (Patel et al., 2019). By addressing these misconceptions, nurses help reduce stigma and create a supportive environment for affected individuals (Rao et al., 2022). Various communication channels are used to reach rural populations effectively, ensuring wider coverage and engagement (Mehta et al., 2023). Community meetings are commonly organized to provide group education and encourage open discussions about reproductive health issues (Verma &amp; Kaur, 2020). Schools serve as important platforms for educating adolescents about reproductive health and preventive practices (Bansal et al., 2021). Digital media, including mobile phones and social platforms, are increasingly being used to disseminate health information, even in rural areas (Singh et al., 2019). Home visits allow nurses to provide personalized education and address individual concerns in a private and comfortable setting (Choudhary et al., 2022). These diverse channels ensure that health education reaches different segments of the population in a manner that is both effective and sustainable (Kaur et al., 2020). This approach is illustrated in Figure 6, which shows multiple health education channels such as community meetings, schools, digital media, and home visits, demonstrating how </w:t>
      </w:r>
      <w:r w:rsidRPr="00061FBB">
        <w:rPr>
          <w:rFonts w:ascii="Times New Roman" w:hAnsi="Times New Roman" w:cs="Times New Roman"/>
          <w:sz w:val="24"/>
          <w:szCs w:val="24"/>
        </w:rPr>
        <w:lastRenderedPageBreak/>
        <w:t>information dissemination can be tailored to different audiences (Agarwal et al., 2018). The use of multiple communication strategies enhances message retention and encourages behavioral change (Joshi et al., 2021). In addition, involving community leaders and local influencers in educational activities increases acceptance and trust among community members (Nair et al., 2019). Health education also promotes preventive practices such as maintaining hygiene, seeking early medical advice, and adopting healthy lifestyles (Mishra et al., 2021). Continuous education and reinforcement of messages are essential to ensure long-term impact and sustainability (Saxena et al., 2022). By improving awareness and knowledge, community health nurses play a vital role in reducing delays in diagnosis and treatment of infertility (Thakur et al., 2022). Ultimately, effective health education contributes to improved reproductive health outcomes and empowers rural populations to make informed decisions regarding their health (Pandey et al., 2023).</w:t>
      </w:r>
    </w:p>
    <w:p w14:paraId="1899D7C5" w14:textId="54C30719" w:rsidR="0010259B" w:rsidRPr="00061FBB" w:rsidRDefault="00A952C7" w:rsidP="004B77CB">
      <w:pPr>
        <w:spacing w:line="360" w:lineRule="auto"/>
        <w:jc w:val="center"/>
        <w:rPr>
          <w:rFonts w:ascii="Times New Roman" w:hAnsi="Times New Roman" w:cs="Times New Roman"/>
          <w:b/>
          <w:bCs/>
          <w:sz w:val="24"/>
          <w:szCs w:val="24"/>
        </w:rPr>
      </w:pPr>
      <w:r w:rsidRPr="00061FBB">
        <w:rPr>
          <w:rFonts w:ascii="Times New Roman" w:hAnsi="Times New Roman" w:cs="Times New Roman"/>
          <w:b/>
          <w:bCs/>
          <w:noProof/>
          <w:sz w:val="24"/>
          <w:szCs w:val="24"/>
          <w:lang w:val="en-US"/>
        </w:rPr>
        <w:drawing>
          <wp:inline distT="0" distB="0" distL="0" distR="0" wp14:anchorId="7E542D40" wp14:editId="2707E52A">
            <wp:extent cx="4783978" cy="41529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785427" cy="4154158"/>
                    </a:xfrm>
                    <a:prstGeom prst="rect">
                      <a:avLst/>
                    </a:prstGeom>
                    <a:noFill/>
                  </pic:spPr>
                </pic:pic>
              </a:graphicData>
            </a:graphic>
          </wp:inline>
        </w:drawing>
      </w:r>
      <w:r w:rsidR="008B2B9A" w:rsidRPr="00061FBB">
        <w:rPr>
          <w:rFonts w:ascii="Times New Roman" w:hAnsi="Times New Roman" w:cs="Times New Roman"/>
          <w:sz w:val="24"/>
          <w:szCs w:val="24"/>
        </w:rPr>
        <w:br/>
      </w:r>
      <w:r w:rsidR="008B2B9A" w:rsidRPr="00061FBB">
        <w:rPr>
          <w:rFonts w:ascii="Times New Roman" w:hAnsi="Times New Roman" w:cs="Times New Roman"/>
          <w:b/>
          <w:bCs/>
          <w:sz w:val="24"/>
          <w:szCs w:val="24"/>
        </w:rPr>
        <w:t>Figure 6: Health education communication channels used for infertility awareness in rural settings</w:t>
      </w:r>
    </w:p>
    <w:p w14:paraId="493B7856" w14:textId="234172A6" w:rsidR="00505D94" w:rsidRPr="00061FBB" w:rsidRDefault="00505D94" w:rsidP="004B77CB">
      <w:pPr>
        <w:spacing w:line="360" w:lineRule="auto"/>
        <w:rPr>
          <w:rFonts w:ascii="Times New Roman" w:hAnsi="Times New Roman" w:cs="Times New Roman"/>
          <w:b/>
          <w:bCs/>
          <w:sz w:val="24"/>
          <w:szCs w:val="24"/>
        </w:rPr>
      </w:pPr>
      <w:r w:rsidRPr="00061FBB">
        <w:rPr>
          <w:rFonts w:ascii="Times New Roman" w:hAnsi="Times New Roman" w:cs="Times New Roman"/>
          <w:b/>
          <w:bCs/>
          <w:sz w:val="24"/>
          <w:szCs w:val="24"/>
        </w:rPr>
        <w:t>Counseling and Psychosocial Support</w:t>
      </w:r>
    </w:p>
    <w:p w14:paraId="71400B3E" w14:textId="6B22B551" w:rsidR="0010259B" w:rsidRPr="00061FBB" w:rsidRDefault="00500FA5" w:rsidP="004B77CB">
      <w:pPr>
        <w:spacing w:line="360" w:lineRule="auto"/>
        <w:jc w:val="both"/>
        <w:rPr>
          <w:rFonts w:ascii="Times New Roman" w:hAnsi="Times New Roman" w:cs="Times New Roman"/>
          <w:sz w:val="24"/>
          <w:szCs w:val="24"/>
        </w:rPr>
      </w:pPr>
      <w:r w:rsidRPr="00061FBB">
        <w:rPr>
          <w:rFonts w:ascii="Times New Roman" w:hAnsi="Times New Roman" w:cs="Times New Roman"/>
          <w:sz w:val="24"/>
          <w:szCs w:val="24"/>
        </w:rPr>
        <w:lastRenderedPageBreak/>
        <w:t xml:space="preserve">Infertility often leads to significant emotional stress, anxiety, depression, and social isolation, particularly in rural populations where societal expectations around childbearing are strong and deeply rooted (World Health Organization, 2023). The inability to conceive can affect an individual’s self-esteem, marital relationships, and overall quality of life, making infertility not only a medical condition but also a psychosocial challenge (Sharma et al., 2021). Women, in particular, may experience higher levels of psychological distress due to societal pressure and gender-based expectations, although men are also affected but often less likely to express their emotions openly (Kumar &amp; Singh, 2020). The stigma associated with infertility can lead to withdrawal from social interactions and reduced participation in community life (Gupta et al., 2021). In such situations, community health nurses play a crucial role in providing counseling services that address both emotional and psychological needs of affected individuals and couples (Patel et al., 2019). Through empathetic communication and active listening, nurses create a safe and supportive environment where individuals can openly discuss their concerns and fears (Rao et al., 2022). Counseling helps individuals understand the medical aspects of infertility, reduces misconceptions, and provides coping strategies to manage stress and anxiety (Mehta et al., 2023). It also promotes better communication between partners, strengthening their relationship and helping them face challenges together (Verma &amp; Kaur, 2020). Community health nurses often provide both individual and couple counseling sessions, depending on the needs of the patients (Bansal et al., 2021). They also guide couples in making informed decisions regarding treatment options and future planning (Singh et al., 2019). The structured approach to counseling is depicted in Figure 7, which outlines a counseling framework addressing emotional, psychological, and relational aspects of infertility, ensuring holistic care (Choudhary et al., 2022). This framework emphasizes the importance of addressing all dimensions of well-being rather than focusing solely on medical treatment (Kaur et al., 2020). In addition to direct counseling, community health nurses may facilitate support groups where individuals can share experiences and gain emotional support from others facing similar challenges (Agarwal et al., 2018). </w:t>
      </w:r>
    </w:p>
    <w:p w14:paraId="2D92CC94" w14:textId="7DBAE025" w:rsidR="00A952C7" w:rsidRPr="00061FBB" w:rsidRDefault="00A952C7" w:rsidP="004B77CB">
      <w:pPr>
        <w:spacing w:line="360" w:lineRule="auto"/>
        <w:jc w:val="center"/>
        <w:rPr>
          <w:rFonts w:ascii="Times New Roman" w:hAnsi="Times New Roman" w:cs="Times New Roman"/>
          <w:sz w:val="24"/>
          <w:szCs w:val="24"/>
        </w:rPr>
      </w:pPr>
      <w:r w:rsidRPr="00061FBB">
        <w:rPr>
          <w:rFonts w:ascii="Times New Roman" w:hAnsi="Times New Roman" w:cs="Times New Roman"/>
          <w:noProof/>
          <w:sz w:val="24"/>
          <w:szCs w:val="24"/>
          <w:lang w:val="en-US"/>
        </w:rPr>
        <w:lastRenderedPageBreak/>
        <w:drawing>
          <wp:inline distT="0" distB="0" distL="0" distR="0" wp14:anchorId="79A30862" wp14:editId="1F86FAD3">
            <wp:extent cx="5476875" cy="2324100"/>
            <wp:effectExtent l="0" t="0" r="952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4">
                      <a:extLst>
                        <a:ext uri="{28A0092B-C50C-407E-A947-70E740481C1C}">
                          <a14:useLocalDpi xmlns:a14="http://schemas.microsoft.com/office/drawing/2010/main" val="0"/>
                        </a:ext>
                      </a:extLst>
                    </a:blip>
                    <a:srcRect b="46608"/>
                    <a:stretch/>
                  </pic:blipFill>
                  <pic:spPr bwMode="auto">
                    <a:xfrm>
                      <a:off x="0" y="0"/>
                      <a:ext cx="5476875" cy="2324100"/>
                    </a:xfrm>
                    <a:prstGeom prst="rect">
                      <a:avLst/>
                    </a:prstGeom>
                    <a:noFill/>
                    <a:ln>
                      <a:noFill/>
                    </a:ln>
                    <a:extLst>
                      <a:ext uri="{53640926-AAD7-44D8-BBD7-CCE9431645EC}">
                        <a14:shadowObscured xmlns:a14="http://schemas.microsoft.com/office/drawing/2010/main"/>
                      </a:ext>
                    </a:extLst>
                  </pic:spPr>
                </pic:pic>
              </a:graphicData>
            </a:graphic>
          </wp:inline>
        </w:drawing>
      </w:r>
    </w:p>
    <w:p w14:paraId="0CC3F0D0" w14:textId="77777777" w:rsidR="00A952C7" w:rsidRPr="00061FBB" w:rsidRDefault="00500FA5" w:rsidP="004B77CB">
      <w:pPr>
        <w:spacing w:line="360" w:lineRule="auto"/>
        <w:jc w:val="center"/>
        <w:rPr>
          <w:rFonts w:ascii="Times New Roman" w:hAnsi="Times New Roman" w:cs="Times New Roman"/>
          <w:b/>
          <w:bCs/>
          <w:sz w:val="24"/>
          <w:szCs w:val="24"/>
        </w:rPr>
      </w:pPr>
      <w:r w:rsidRPr="00061FBB">
        <w:rPr>
          <w:rFonts w:ascii="Times New Roman" w:hAnsi="Times New Roman" w:cs="Times New Roman"/>
          <w:b/>
          <w:bCs/>
          <w:sz w:val="24"/>
          <w:szCs w:val="24"/>
        </w:rPr>
        <w:t>Figure 7: Counseling framework addressing emotional, psychological, and relational aspects of infertility</w:t>
      </w:r>
    </w:p>
    <w:p w14:paraId="0CAE5279" w14:textId="74EF4024" w:rsidR="00F13528" w:rsidRPr="00061FBB" w:rsidRDefault="00500FA5" w:rsidP="004B77CB">
      <w:pPr>
        <w:spacing w:line="360" w:lineRule="auto"/>
        <w:jc w:val="both"/>
        <w:rPr>
          <w:rFonts w:ascii="Times New Roman" w:hAnsi="Times New Roman" w:cs="Times New Roman"/>
          <w:b/>
          <w:bCs/>
          <w:sz w:val="24"/>
          <w:szCs w:val="24"/>
        </w:rPr>
      </w:pPr>
      <w:r w:rsidRPr="00061FBB">
        <w:rPr>
          <w:rFonts w:ascii="Times New Roman" w:hAnsi="Times New Roman" w:cs="Times New Roman"/>
          <w:sz w:val="24"/>
          <w:szCs w:val="24"/>
        </w:rPr>
        <w:t>Such group interactions help reduce feelings of isolation and promote a sense of belonging (Joshi et al., 2021). Referral to mental health professionals is also an important aspect of care in cases where individuals experience severe psychological distress (Nair et al., 2019). These interventions ensure that mental health is given equal importance alongside physical health in infertility management (Mishra et al., 2021). The importance of psychosocial interventions is further detailed in Table 3, which categorizes different counseling approaches along with their purpose and benefits, highlighting their role in improving mental well-being (Saxena et al., 2022). Continuous follow-up and emotional support are essential to ensure long-term psychological stability and treatment adherence (Thakur et al., 2022). By integrating counseling into routine care, community health nurses contribute significantly to improving both mental and reproductive health outcomes (Pandey et al., 2023).</w:t>
      </w:r>
    </w:p>
    <w:p w14:paraId="08EBD45F" w14:textId="1E2F1FD0" w:rsidR="00505D94" w:rsidRPr="00061FBB" w:rsidRDefault="008B2B9A" w:rsidP="004B77CB">
      <w:pPr>
        <w:spacing w:line="360" w:lineRule="auto"/>
        <w:jc w:val="center"/>
        <w:rPr>
          <w:rFonts w:ascii="Times New Roman" w:hAnsi="Times New Roman" w:cs="Times New Roman"/>
          <w:b/>
          <w:bCs/>
          <w:sz w:val="24"/>
          <w:szCs w:val="24"/>
        </w:rPr>
      </w:pPr>
      <w:r w:rsidRPr="00061FBB">
        <w:rPr>
          <w:rFonts w:ascii="Times New Roman" w:hAnsi="Times New Roman" w:cs="Times New Roman"/>
          <w:b/>
          <w:bCs/>
          <w:sz w:val="24"/>
          <w:szCs w:val="24"/>
        </w:rPr>
        <w:t>Table 3: Psychosocial support interventions for managing emotional and mental health in infertility</w:t>
      </w:r>
    </w:p>
    <w:tbl>
      <w:tblPr>
        <w:tblStyle w:val="TableGrid"/>
        <w:tblW w:w="0" w:type="auto"/>
        <w:jc w:val="center"/>
        <w:tblLook w:val="04A0" w:firstRow="1" w:lastRow="0" w:firstColumn="1" w:lastColumn="0" w:noHBand="0" w:noVBand="1"/>
      </w:tblPr>
      <w:tblGrid>
        <w:gridCol w:w="2303"/>
        <w:gridCol w:w="2263"/>
        <w:gridCol w:w="2236"/>
      </w:tblGrid>
      <w:tr w:rsidR="00505D94" w:rsidRPr="00061FBB" w14:paraId="6E905B56" w14:textId="77777777" w:rsidTr="00F13528">
        <w:trPr>
          <w:trHeight w:val="850"/>
          <w:jc w:val="center"/>
        </w:trPr>
        <w:tc>
          <w:tcPr>
            <w:tcW w:w="0" w:type="auto"/>
            <w:vAlign w:val="center"/>
            <w:hideMark/>
          </w:tcPr>
          <w:p w14:paraId="5A3EE3A7" w14:textId="77777777" w:rsidR="00505D94" w:rsidRPr="00061FBB" w:rsidRDefault="00505D94" w:rsidP="004B77CB">
            <w:pPr>
              <w:spacing w:line="360" w:lineRule="auto"/>
              <w:jc w:val="center"/>
              <w:rPr>
                <w:rFonts w:ascii="Times New Roman" w:hAnsi="Times New Roman" w:cs="Times New Roman"/>
                <w:b/>
                <w:bCs/>
                <w:sz w:val="24"/>
                <w:szCs w:val="24"/>
              </w:rPr>
            </w:pPr>
            <w:r w:rsidRPr="00061FBB">
              <w:rPr>
                <w:rFonts w:ascii="Times New Roman" w:hAnsi="Times New Roman" w:cs="Times New Roman"/>
                <w:b/>
                <w:bCs/>
                <w:sz w:val="24"/>
                <w:szCs w:val="24"/>
              </w:rPr>
              <w:t>Intervention</w:t>
            </w:r>
          </w:p>
        </w:tc>
        <w:tc>
          <w:tcPr>
            <w:tcW w:w="0" w:type="auto"/>
            <w:vAlign w:val="center"/>
            <w:hideMark/>
          </w:tcPr>
          <w:p w14:paraId="39B05EC7" w14:textId="77777777" w:rsidR="00505D94" w:rsidRPr="00061FBB" w:rsidRDefault="00505D94" w:rsidP="004B77CB">
            <w:pPr>
              <w:spacing w:line="360" w:lineRule="auto"/>
              <w:jc w:val="center"/>
              <w:rPr>
                <w:rFonts w:ascii="Times New Roman" w:hAnsi="Times New Roman" w:cs="Times New Roman"/>
                <w:b/>
                <w:bCs/>
                <w:sz w:val="24"/>
                <w:szCs w:val="24"/>
              </w:rPr>
            </w:pPr>
            <w:r w:rsidRPr="00061FBB">
              <w:rPr>
                <w:rFonts w:ascii="Times New Roman" w:hAnsi="Times New Roman" w:cs="Times New Roman"/>
                <w:b/>
                <w:bCs/>
                <w:sz w:val="24"/>
                <w:szCs w:val="24"/>
              </w:rPr>
              <w:t>Purpose</w:t>
            </w:r>
          </w:p>
        </w:tc>
        <w:tc>
          <w:tcPr>
            <w:tcW w:w="0" w:type="auto"/>
            <w:vAlign w:val="center"/>
            <w:hideMark/>
          </w:tcPr>
          <w:p w14:paraId="3E30BB5B" w14:textId="77777777" w:rsidR="00505D94" w:rsidRPr="00061FBB" w:rsidRDefault="00505D94" w:rsidP="004B77CB">
            <w:pPr>
              <w:spacing w:line="360" w:lineRule="auto"/>
              <w:jc w:val="center"/>
              <w:rPr>
                <w:rFonts w:ascii="Times New Roman" w:hAnsi="Times New Roman" w:cs="Times New Roman"/>
                <w:b/>
                <w:bCs/>
                <w:sz w:val="24"/>
                <w:szCs w:val="24"/>
              </w:rPr>
            </w:pPr>
            <w:r w:rsidRPr="00061FBB">
              <w:rPr>
                <w:rFonts w:ascii="Times New Roman" w:hAnsi="Times New Roman" w:cs="Times New Roman"/>
                <w:b/>
                <w:bCs/>
                <w:sz w:val="24"/>
                <w:szCs w:val="24"/>
              </w:rPr>
              <w:t>Benefit</w:t>
            </w:r>
          </w:p>
        </w:tc>
      </w:tr>
      <w:tr w:rsidR="00505D94" w:rsidRPr="00061FBB" w14:paraId="34D26CD1" w14:textId="77777777" w:rsidTr="00F13528">
        <w:trPr>
          <w:trHeight w:val="850"/>
          <w:jc w:val="center"/>
        </w:trPr>
        <w:tc>
          <w:tcPr>
            <w:tcW w:w="0" w:type="auto"/>
            <w:vAlign w:val="center"/>
            <w:hideMark/>
          </w:tcPr>
          <w:p w14:paraId="330CE4CF" w14:textId="77777777" w:rsidR="00505D94" w:rsidRPr="00061FBB" w:rsidRDefault="00505D94" w:rsidP="004B77CB">
            <w:pPr>
              <w:spacing w:line="360" w:lineRule="auto"/>
              <w:jc w:val="center"/>
              <w:rPr>
                <w:rFonts w:ascii="Times New Roman" w:hAnsi="Times New Roman" w:cs="Times New Roman"/>
                <w:sz w:val="24"/>
                <w:szCs w:val="24"/>
              </w:rPr>
            </w:pPr>
            <w:r w:rsidRPr="00061FBB">
              <w:rPr>
                <w:rFonts w:ascii="Times New Roman" w:hAnsi="Times New Roman" w:cs="Times New Roman"/>
                <w:sz w:val="24"/>
                <w:szCs w:val="24"/>
              </w:rPr>
              <w:t>Individual counseling</w:t>
            </w:r>
          </w:p>
        </w:tc>
        <w:tc>
          <w:tcPr>
            <w:tcW w:w="0" w:type="auto"/>
            <w:vAlign w:val="center"/>
            <w:hideMark/>
          </w:tcPr>
          <w:p w14:paraId="10B2A8B4" w14:textId="77777777" w:rsidR="00505D94" w:rsidRPr="00061FBB" w:rsidRDefault="00505D94" w:rsidP="004B77CB">
            <w:pPr>
              <w:spacing w:line="360" w:lineRule="auto"/>
              <w:jc w:val="center"/>
              <w:rPr>
                <w:rFonts w:ascii="Times New Roman" w:hAnsi="Times New Roman" w:cs="Times New Roman"/>
                <w:sz w:val="24"/>
                <w:szCs w:val="24"/>
              </w:rPr>
            </w:pPr>
            <w:r w:rsidRPr="00061FBB">
              <w:rPr>
                <w:rFonts w:ascii="Times New Roman" w:hAnsi="Times New Roman" w:cs="Times New Roman"/>
                <w:sz w:val="24"/>
                <w:szCs w:val="24"/>
              </w:rPr>
              <w:t>Emotional support</w:t>
            </w:r>
          </w:p>
        </w:tc>
        <w:tc>
          <w:tcPr>
            <w:tcW w:w="0" w:type="auto"/>
            <w:vAlign w:val="center"/>
            <w:hideMark/>
          </w:tcPr>
          <w:p w14:paraId="30FEAA27" w14:textId="77777777" w:rsidR="00505D94" w:rsidRPr="00061FBB" w:rsidRDefault="00505D94" w:rsidP="004B77CB">
            <w:pPr>
              <w:spacing w:line="360" w:lineRule="auto"/>
              <w:jc w:val="center"/>
              <w:rPr>
                <w:rFonts w:ascii="Times New Roman" w:hAnsi="Times New Roman" w:cs="Times New Roman"/>
                <w:sz w:val="24"/>
                <w:szCs w:val="24"/>
              </w:rPr>
            </w:pPr>
            <w:r w:rsidRPr="00061FBB">
              <w:rPr>
                <w:rFonts w:ascii="Times New Roman" w:hAnsi="Times New Roman" w:cs="Times New Roman"/>
                <w:sz w:val="24"/>
                <w:szCs w:val="24"/>
              </w:rPr>
              <w:t>Reduced anxiety</w:t>
            </w:r>
          </w:p>
        </w:tc>
      </w:tr>
      <w:tr w:rsidR="00505D94" w:rsidRPr="00061FBB" w14:paraId="21C10EE9" w14:textId="77777777" w:rsidTr="00F13528">
        <w:trPr>
          <w:trHeight w:val="850"/>
          <w:jc w:val="center"/>
        </w:trPr>
        <w:tc>
          <w:tcPr>
            <w:tcW w:w="0" w:type="auto"/>
            <w:vAlign w:val="center"/>
            <w:hideMark/>
          </w:tcPr>
          <w:p w14:paraId="07A54ED1" w14:textId="77777777" w:rsidR="00505D94" w:rsidRPr="00061FBB" w:rsidRDefault="00505D94" w:rsidP="004B77CB">
            <w:pPr>
              <w:spacing w:line="360" w:lineRule="auto"/>
              <w:jc w:val="center"/>
              <w:rPr>
                <w:rFonts w:ascii="Times New Roman" w:hAnsi="Times New Roman" w:cs="Times New Roman"/>
                <w:sz w:val="24"/>
                <w:szCs w:val="24"/>
              </w:rPr>
            </w:pPr>
            <w:r w:rsidRPr="00061FBB">
              <w:rPr>
                <w:rFonts w:ascii="Times New Roman" w:hAnsi="Times New Roman" w:cs="Times New Roman"/>
                <w:sz w:val="24"/>
                <w:szCs w:val="24"/>
              </w:rPr>
              <w:t>Couple counseling</w:t>
            </w:r>
          </w:p>
        </w:tc>
        <w:tc>
          <w:tcPr>
            <w:tcW w:w="0" w:type="auto"/>
            <w:vAlign w:val="center"/>
            <w:hideMark/>
          </w:tcPr>
          <w:p w14:paraId="6BCD66F0" w14:textId="77777777" w:rsidR="00505D94" w:rsidRPr="00061FBB" w:rsidRDefault="00505D94" w:rsidP="004B77CB">
            <w:pPr>
              <w:spacing w:line="360" w:lineRule="auto"/>
              <w:jc w:val="center"/>
              <w:rPr>
                <w:rFonts w:ascii="Times New Roman" w:hAnsi="Times New Roman" w:cs="Times New Roman"/>
                <w:sz w:val="24"/>
                <w:szCs w:val="24"/>
              </w:rPr>
            </w:pPr>
            <w:r w:rsidRPr="00061FBB">
              <w:rPr>
                <w:rFonts w:ascii="Times New Roman" w:hAnsi="Times New Roman" w:cs="Times New Roman"/>
                <w:sz w:val="24"/>
                <w:szCs w:val="24"/>
              </w:rPr>
              <w:t>Relationship strength</w:t>
            </w:r>
          </w:p>
        </w:tc>
        <w:tc>
          <w:tcPr>
            <w:tcW w:w="0" w:type="auto"/>
            <w:vAlign w:val="center"/>
            <w:hideMark/>
          </w:tcPr>
          <w:p w14:paraId="41F2FC2D" w14:textId="77777777" w:rsidR="00505D94" w:rsidRPr="00061FBB" w:rsidRDefault="00505D94" w:rsidP="004B77CB">
            <w:pPr>
              <w:spacing w:line="360" w:lineRule="auto"/>
              <w:jc w:val="center"/>
              <w:rPr>
                <w:rFonts w:ascii="Times New Roman" w:hAnsi="Times New Roman" w:cs="Times New Roman"/>
                <w:sz w:val="24"/>
                <w:szCs w:val="24"/>
              </w:rPr>
            </w:pPr>
            <w:r w:rsidRPr="00061FBB">
              <w:rPr>
                <w:rFonts w:ascii="Times New Roman" w:hAnsi="Times New Roman" w:cs="Times New Roman"/>
                <w:sz w:val="24"/>
                <w:szCs w:val="24"/>
              </w:rPr>
              <w:t>Better bonding</w:t>
            </w:r>
          </w:p>
        </w:tc>
      </w:tr>
      <w:tr w:rsidR="00505D94" w:rsidRPr="00061FBB" w14:paraId="28233D18" w14:textId="77777777" w:rsidTr="00F13528">
        <w:trPr>
          <w:trHeight w:val="850"/>
          <w:jc w:val="center"/>
        </w:trPr>
        <w:tc>
          <w:tcPr>
            <w:tcW w:w="0" w:type="auto"/>
            <w:vAlign w:val="center"/>
            <w:hideMark/>
          </w:tcPr>
          <w:p w14:paraId="0665BBD7" w14:textId="77777777" w:rsidR="00505D94" w:rsidRPr="00061FBB" w:rsidRDefault="00505D94" w:rsidP="004B77CB">
            <w:pPr>
              <w:spacing w:line="360" w:lineRule="auto"/>
              <w:jc w:val="center"/>
              <w:rPr>
                <w:rFonts w:ascii="Times New Roman" w:hAnsi="Times New Roman" w:cs="Times New Roman"/>
                <w:sz w:val="24"/>
                <w:szCs w:val="24"/>
              </w:rPr>
            </w:pPr>
            <w:r w:rsidRPr="00061FBB">
              <w:rPr>
                <w:rFonts w:ascii="Times New Roman" w:hAnsi="Times New Roman" w:cs="Times New Roman"/>
                <w:sz w:val="24"/>
                <w:szCs w:val="24"/>
              </w:rPr>
              <w:lastRenderedPageBreak/>
              <w:t>Support groups</w:t>
            </w:r>
          </w:p>
        </w:tc>
        <w:tc>
          <w:tcPr>
            <w:tcW w:w="0" w:type="auto"/>
            <w:vAlign w:val="center"/>
            <w:hideMark/>
          </w:tcPr>
          <w:p w14:paraId="07E3ED9E" w14:textId="77777777" w:rsidR="00505D94" w:rsidRPr="00061FBB" w:rsidRDefault="00505D94" w:rsidP="004B77CB">
            <w:pPr>
              <w:spacing w:line="360" w:lineRule="auto"/>
              <w:jc w:val="center"/>
              <w:rPr>
                <w:rFonts w:ascii="Times New Roman" w:hAnsi="Times New Roman" w:cs="Times New Roman"/>
                <w:sz w:val="24"/>
                <w:szCs w:val="24"/>
              </w:rPr>
            </w:pPr>
            <w:r w:rsidRPr="00061FBB">
              <w:rPr>
                <w:rFonts w:ascii="Times New Roman" w:hAnsi="Times New Roman" w:cs="Times New Roman"/>
                <w:sz w:val="24"/>
                <w:szCs w:val="24"/>
              </w:rPr>
              <w:t>Shared experiences</w:t>
            </w:r>
          </w:p>
        </w:tc>
        <w:tc>
          <w:tcPr>
            <w:tcW w:w="0" w:type="auto"/>
            <w:vAlign w:val="center"/>
            <w:hideMark/>
          </w:tcPr>
          <w:p w14:paraId="4E1F76F4" w14:textId="77777777" w:rsidR="00505D94" w:rsidRPr="00061FBB" w:rsidRDefault="00505D94" w:rsidP="004B77CB">
            <w:pPr>
              <w:spacing w:line="360" w:lineRule="auto"/>
              <w:jc w:val="center"/>
              <w:rPr>
                <w:rFonts w:ascii="Times New Roman" w:hAnsi="Times New Roman" w:cs="Times New Roman"/>
                <w:sz w:val="24"/>
                <w:szCs w:val="24"/>
              </w:rPr>
            </w:pPr>
            <w:r w:rsidRPr="00061FBB">
              <w:rPr>
                <w:rFonts w:ascii="Times New Roman" w:hAnsi="Times New Roman" w:cs="Times New Roman"/>
                <w:sz w:val="24"/>
                <w:szCs w:val="24"/>
              </w:rPr>
              <w:t>Social support</w:t>
            </w:r>
          </w:p>
        </w:tc>
      </w:tr>
      <w:tr w:rsidR="00505D94" w:rsidRPr="00061FBB" w14:paraId="7CAEF7E5" w14:textId="77777777" w:rsidTr="00F13528">
        <w:trPr>
          <w:trHeight w:val="850"/>
          <w:jc w:val="center"/>
        </w:trPr>
        <w:tc>
          <w:tcPr>
            <w:tcW w:w="0" w:type="auto"/>
            <w:vAlign w:val="center"/>
            <w:hideMark/>
          </w:tcPr>
          <w:p w14:paraId="6AEB7C03" w14:textId="77777777" w:rsidR="00505D94" w:rsidRPr="00061FBB" w:rsidRDefault="00505D94" w:rsidP="004B77CB">
            <w:pPr>
              <w:spacing w:line="360" w:lineRule="auto"/>
              <w:jc w:val="center"/>
              <w:rPr>
                <w:rFonts w:ascii="Times New Roman" w:hAnsi="Times New Roman" w:cs="Times New Roman"/>
                <w:sz w:val="24"/>
                <w:szCs w:val="24"/>
              </w:rPr>
            </w:pPr>
            <w:r w:rsidRPr="00061FBB">
              <w:rPr>
                <w:rFonts w:ascii="Times New Roman" w:hAnsi="Times New Roman" w:cs="Times New Roman"/>
                <w:sz w:val="24"/>
                <w:szCs w:val="24"/>
              </w:rPr>
              <w:t>Referral</w:t>
            </w:r>
          </w:p>
        </w:tc>
        <w:tc>
          <w:tcPr>
            <w:tcW w:w="0" w:type="auto"/>
            <w:vAlign w:val="center"/>
            <w:hideMark/>
          </w:tcPr>
          <w:p w14:paraId="67016511" w14:textId="77777777" w:rsidR="00505D94" w:rsidRPr="00061FBB" w:rsidRDefault="00505D94" w:rsidP="004B77CB">
            <w:pPr>
              <w:spacing w:line="360" w:lineRule="auto"/>
              <w:jc w:val="center"/>
              <w:rPr>
                <w:rFonts w:ascii="Times New Roman" w:hAnsi="Times New Roman" w:cs="Times New Roman"/>
                <w:sz w:val="24"/>
                <w:szCs w:val="24"/>
              </w:rPr>
            </w:pPr>
            <w:r w:rsidRPr="00061FBB">
              <w:rPr>
                <w:rFonts w:ascii="Times New Roman" w:hAnsi="Times New Roman" w:cs="Times New Roman"/>
                <w:sz w:val="24"/>
                <w:szCs w:val="24"/>
              </w:rPr>
              <w:t>Mental health care</w:t>
            </w:r>
          </w:p>
        </w:tc>
        <w:tc>
          <w:tcPr>
            <w:tcW w:w="0" w:type="auto"/>
            <w:vAlign w:val="center"/>
            <w:hideMark/>
          </w:tcPr>
          <w:p w14:paraId="3B8F1F42" w14:textId="77777777" w:rsidR="00505D94" w:rsidRPr="00061FBB" w:rsidRDefault="00505D94" w:rsidP="004B77CB">
            <w:pPr>
              <w:spacing w:line="360" w:lineRule="auto"/>
              <w:jc w:val="center"/>
              <w:rPr>
                <w:rFonts w:ascii="Times New Roman" w:hAnsi="Times New Roman" w:cs="Times New Roman"/>
                <w:sz w:val="24"/>
                <w:szCs w:val="24"/>
              </w:rPr>
            </w:pPr>
            <w:r w:rsidRPr="00061FBB">
              <w:rPr>
                <w:rFonts w:ascii="Times New Roman" w:hAnsi="Times New Roman" w:cs="Times New Roman"/>
                <w:sz w:val="24"/>
                <w:szCs w:val="24"/>
              </w:rPr>
              <w:t>Improved well-being</w:t>
            </w:r>
          </w:p>
        </w:tc>
      </w:tr>
    </w:tbl>
    <w:p w14:paraId="3CFFCEB5" w14:textId="77777777" w:rsidR="00A952C7" w:rsidRPr="00061FBB" w:rsidRDefault="00A952C7" w:rsidP="004B77CB">
      <w:pPr>
        <w:spacing w:line="360" w:lineRule="auto"/>
        <w:rPr>
          <w:rFonts w:ascii="Times New Roman" w:hAnsi="Times New Roman" w:cs="Times New Roman"/>
          <w:b/>
          <w:bCs/>
          <w:sz w:val="24"/>
          <w:szCs w:val="24"/>
        </w:rPr>
      </w:pPr>
    </w:p>
    <w:p w14:paraId="5D0A450E" w14:textId="53FA1B8D" w:rsidR="00505D94" w:rsidRPr="00061FBB" w:rsidRDefault="00505D94" w:rsidP="004B77CB">
      <w:pPr>
        <w:spacing w:line="360" w:lineRule="auto"/>
        <w:rPr>
          <w:rFonts w:ascii="Times New Roman" w:hAnsi="Times New Roman" w:cs="Times New Roman"/>
          <w:b/>
          <w:bCs/>
          <w:sz w:val="24"/>
          <w:szCs w:val="24"/>
        </w:rPr>
      </w:pPr>
      <w:r w:rsidRPr="00061FBB">
        <w:rPr>
          <w:rFonts w:ascii="Times New Roman" w:hAnsi="Times New Roman" w:cs="Times New Roman"/>
          <w:b/>
          <w:bCs/>
          <w:sz w:val="24"/>
          <w:szCs w:val="24"/>
        </w:rPr>
        <w:t>Referral System and Continuum of Care</w:t>
      </w:r>
    </w:p>
    <w:p w14:paraId="3ED92C8F" w14:textId="77777777" w:rsidR="00D735AD" w:rsidRPr="00061FBB" w:rsidRDefault="00D735AD" w:rsidP="004B77CB">
      <w:pPr>
        <w:spacing w:line="360" w:lineRule="auto"/>
        <w:jc w:val="both"/>
        <w:rPr>
          <w:rFonts w:ascii="Times New Roman" w:hAnsi="Times New Roman" w:cs="Times New Roman"/>
          <w:sz w:val="24"/>
          <w:szCs w:val="24"/>
        </w:rPr>
      </w:pPr>
      <w:r w:rsidRPr="00061FBB">
        <w:rPr>
          <w:rFonts w:ascii="Times New Roman" w:hAnsi="Times New Roman" w:cs="Times New Roman"/>
          <w:sz w:val="24"/>
          <w:szCs w:val="24"/>
        </w:rPr>
        <w:t xml:space="preserve">Timely referral to specialized healthcare facilities is essential for accurate diagnosis and effective management of infertility, particularly in rural populations where advanced diagnostic and treatment services are often unavailable at the primary level (World Health Organization, 2022). Early referral helps in reducing delays in treatment initiation and improves the chances of successful outcomes (Sharma et al., 2021). Community health nurses play a crucial role in identifying cases that require higher-level medical attention and facilitating their movement through the healthcare system (Kumar &amp; Singh, 2020). Through regular assessments and screenings, nurses are able to detect warning signs and risk factors that indicate the need for further evaluation by specialists (Gupta et al., 2021). Once a potential infertility issue is identified, community health nurses guide patients toward appropriate healthcare facilities, ensuring that they receive timely and adequate care (Patel et al., 2019). They also educate patients about the importance of seeking specialized treatment and help overcome fears or misconceptions associated with hospital visits (Rao et al., 2022). In rural areas, barriers such as transportation difficulties, financial constraints, and lack of awareness often hinder access to higher-level care (Mehta et al., 2023). Community health nurses address these challenges by coordinating with local health authorities and assisting patients in navigating the referral system (Verma &amp; Kaur, 2020). Continuity of care is a critical aspect of the referral process, as it ensures that patients are not lost between different levels of healthcare services (Bansal et al., 2021). Nurses maintain records, follow up on referred cases, and ensure that patients adhere to prescribed treatments and appointments (Singh et al., 2019). This ongoing support helps in monitoring patient progress and identifying any complications or delays in treatment (Choudhary et al., 2022). The structured pathway is presented in Figure 8, which illustrates the referral system from the community level to primary, secondary, and tertiary healthcare centers, ensuring that patients receive appropriate care at each stage (Kaur et al., 2020). This system highlights the importance of a coordinated and hierarchical approach to healthcare delivery, where each level plays a specific role in diagnosis and management (Agarwal et al., 2018). Effective referral systems also enhance communication between healthcare providers, leading </w:t>
      </w:r>
      <w:r w:rsidRPr="00061FBB">
        <w:rPr>
          <w:rFonts w:ascii="Times New Roman" w:hAnsi="Times New Roman" w:cs="Times New Roman"/>
          <w:sz w:val="24"/>
          <w:szCs w:val="24"/>
        </w:rPr>
        <w:lastRenderedPageBreak/>
        <w:t>to better clinical decision-making and patient outcomes (Joshi et al., 2021). In addition, community health nurses act as patient advocates, ensuring that individuals receive respectful and equitable care throughout the referral process (Nair et al., 2019). Strengthening referral mechanisms and improving infrastructure can significantly enhance access to infertility services in rural areas (Mishra et al., 2021). Training programs for nurses and healthcare workers can further improve their ability to manage referrals efficiently (Saxena et al., 2022). Government policies and support systems also play a vital role in strengthening referral networks and reducing disparities in healthcare access (Thakur et al., 2022). Therefore, an effective referral system supported by community health nurses is essential for ensuring continuity of care and improving reproductive health outcomes among rural populations (Pandey et al., 2023).</w:t>
      </w:r>
    </w:p>
    <w:p w14:paraId="1A8245EA" w14:textId="6958E428" w:rsidR="008B2B9A" w:rsidRPr="00061FBB" w:rsidRDefault="008B2B9A" w:rsidP="004B77CB">
      <w:pPr>
        <w:spacing w:line="360" w:lineRule="auto"/>
        <w:jc w:val="center"/>
        <w:rPr>
          <w:rFonts w:ascii="Times New Roman" w:hAnsi="Times New Roman" w:cs="Times New Roman"/>
          <w:sz w:val="24"/>
          <w:szCs w:val="24"/>
        </w:rPr>
      </w:pPr>
      <w:r w:rsidRPr="00061FBB">
        <w:rPr>
          <w:rFonts w:ascii="Times New Roman" w:hAnsi="Times New Roman" w:cs="Times New Roman"/>
          <w:sz w:val="24"/>
          <w:szCs w:val="24"/>
        </w:rPr>
        <w:br/>
      </w:r>
      <w:r w:rsidR="00A952C7" w:rsidRPr="00061FBB">
        <w:rPr>
          <w:rFonts w:ascii="Times New Roman" w:hAnsi="Times New Roman" w:cs="Times New Roman"/>
          <w:noProof/>
          <w:sz w:val="24"/>
          <w:szCs w:val="24"/>
          <w:lang w:val="en-US"/>
        </w:rPr>
        <w:drawing>
          <wp:inline distT="0" distB="0" distL="0" distR="0" wp14:anchorId="5C078AAB" wp14:editId="6C05AFB4">
            <wp:extent cx="5663096" cy="244792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t="13495" b="21666"/>
                    <a:stretch/>
                  </pic:blipFill>
                  <pic:spPr bwMode="auto">
                    <a:xfrm>
                      <a:off x="0" y="0"/>
                      <a:ext cx="5666357" cy="2449335"/>
                    </a:xfrm>
                    <a:prstGeom prst="rect">
                      <a:avLst/>
                    </a:prstGeom>
                    <a:noFill/>
                    <a:ln>
                      <a:noFill/>
                    </a:ln>
                    <a:extLst>
                      <a:ext uri="{53640926-AAD7-44D8-BBD7-CCE9431645EC}">
                        <a14:shadowObscured xmlns:a14="http://schemas.microsoft.com/office/drawing/2010/main"/>
                      </a:ext>
                    </a:extLst>
                  </pic:spPr>
                </pic:pic>
              </a:graphicData>
            </a:graphic>
          </wp:inline>
        </w:drawing>
      </w:r>
    </w:p>
    <w:p w14:paraId="6E081F6C" w14:textId="2594B3D9" w:rsidR="00505D94" w:rsidRPr="00061FBB" w:rsidRDefault="008B2B9A" w:rsidP="004B77CB">
      <w:pPr>
        <w:spacing w:line="360" w:lineRule="auto"/>
        <w:jc w:val="center"/>
        <w:rPr>
          <w:rFonts w:ascii="Times New Roman" w:hAnsi="Times New Roman" w:cs="Times New Roman"/>
          <w:b/>
          <w:bCs/>
          <w:sz w:val="24"/>
          <w:szCs w:val="24"/>
        </w:rPr>
      </w:pPr>
      <w:r w:rsidRPr="00061FBB">
        <w:rPr>
          <w:rFonts w:ascii="Times New Roman" w:hAnsi="Times New Roman" w:cs="Times New Roman"/>
          <w:b/>
          <w:bCs/>
          <w:sz w:val="24"/>
          <w:szCs w:val="24"/>
        </w:rPr>
        <w:t>Figure 8: Referral pathway in rural healthcare system from community to tertiary care levels</w:t>
      </w:r>
    </w:p>
    <w:p w14:paraId="4ACA68E7" w14:textId="630B8ED9" w:rsidR="00505D94" w:rsidRPr="00061FBB" w:rsidRDefault="00505D94" w:rsidP="004B77CB">
      <w:pPr>
        <w:spacing w:line="360" w:lineRule="auto"/>
        <w:rPr>
          <w:rFonts w:ascii="Times New Roman" w:hAnsi="Times New Roman" w:cs="Times New Roman"/>
          <w:b/>
          <w:bCs/>
          <w:sz w:val="24"/>
          <w:szCs w:val="24"/>
        </w:rPr>
      </w:pPr>
      <w:r w:rsidRPr="00061FBB">
        <w:rPr>
          <w:rFonts w:ascii="Times New Roman" w:hAnsi="Times New Roman" w:cs="Times New Roman"/>
          <w:b/>
          <w:bCs/>
          <w:sz w:val="24"/>
          <w:szCs w:val="24"/>
        </w:rPr>
        <w:t>Challenges Faced by Community Health Nurses</w:t>
      </w:r>
    </w:p>
    <w:p w14:paraId="496F087F" w14:textId="5CBF095C" w:rsidR="00505D94" w:rsidRPr="00061FBB" w:rsidRDefault="00D735AD" w:rsidP="004B77CB">
      <w:pPr>
        <w:spacing w:line="360" w:lineRule="auto"/>
        <w:jc w:val="both"/>
        <w:rPr>
          <w:rFonts w:ascii="Times New Roman" w:hAnsi="Times New Roman" w:cs="Times New Roman"/>
          <w:sz w:val="24"/>
          <w:szCs w:val="24"/>
        </w:rPr>
      </w:pPr>
      <w:r w:rsidRPr="00061FBB">
        <w:rPr>
          <w:rFonts w:ascii="Times New Roman" w:hAnsi="Times New Roman" w:cs="Times New Roman"/>
          <w:sz w:val="24"/>
          <w:szCs w:val="24"/>
        </w:rPr>
        <w:t xml:space="preserve">Despite their critical role in delivering reproductive health services, community health nurses face numerous challenges that limit their effectiveness, particularly in rural settings where healthcare systems are often under-resourced and fragmented (World Health Organization, 2022). One of the most significant barriers is the lack of adequate resources, including essential medical supplies, screening tools, and diagnostic equipment required for early detection and management of infertility-related conditions (Sharma et al., 2021). In many rural areas, primary healthcare centers are not fully equipped to handle reproductive health issues, which restricts </w:t>
      </w:r>
      <w:r w:rsidRPr="00061FBB">
        <w:rPr>
          <w:rFonts w:ascii="Times New Roman" w:hAnsi="Times New Roman" w:cs="Times New Roman"/>
          <w:sz w:val="24"/>
          <w:szCs w:val="24"/>
        </w:rPr>
        <w:lastRenderedPageBreak/>
        <w:t>the ability of nurses to provide comprehensive care (Kumar &amp; Singh, 2020). Insufficient training is another major concern, as many community health nurses may not receive specialized education or updated knowledge regarding infertility assessment, counseling, and management (Gupta et al., 2021). Continuous professional development opportunities are often limited, making it difficult for nurses to stay informed about advancements in reproductive health practices (Patel et al., 2019). This gap in knowledge can affect the quality of care provided and reduce confidence in managing complex infertility cases (Rao et al., 2022). Limited infrastructure further compounds these challenges, as rural healthcare facilities often lack proper space, privacy for counseling, and reliable laboratory services (Mehta et al., 2023). Transportation issues and long distances between villages and healthcare centers also hinder the delivery of timely services and follow-up care (Verma &amp; Kaur, 2020). In addition to structural barriers, community health nurses frequently face high workloads due to staff shortages, as they are responsible for multiple health programs beyond reproductive health, including maternal and child health, immunization, and disease control (Bansal et al., 2021). This workload reduces the time available for focused infertility care and community engagement (Singh et al., 2019). Sociocultural barriers also affect their work, as resistance from community members, gender norms, and stigma surrounding infertility can limit the acceptance of healthcare interventions (Choudhary et al., 2022). Nurses may encounter difficulties in discussing sensitive topics such as reproductive health and infertility due to cultural taboos (Kaur et al., 2020). Additionally, lack of coordination between different levels of the healthcare system can disrupt referral processes and continuity of care (Agarwal et al., 2018). Poor communication and inadequate record-keeping systems further contribute to gaps in service delivery (Joshi et al., 2021). Financial constraints at both the system and patient levels also impact the accessibility and utilization of infertility services (Nair et al., 2019). Without sufficient funding and policy support, it becomes challenging to implement large-scale screening and awareness programs in rural areas (Mishra et al., 2021). These barriers collectively affect the quality, accessibility, and effectiveness of infertility care services provided by community health nurses (Saxena et al., 2022). Addressing these challenges requires a comprehensive approach that includes improving infrastructure, providing specialized training, increasing workforce capacity, and strengthening healthcare policies (Thakur et al., 2022). Enhancing community participation and reducing stigma through awareness programs can also support nurses in delivering effective care (Pandey et al., 2023). Therefore, overcoming these barriers is essential to empower community health nurses and ensure equitable and high-quality infertility care in rural populations.</w:t>
      </w:r>
    </w:p>
    <w:p w14:paraId="43A5DE48" w14:textId="2F03F621" w:rsidR="00505D94" w:rsidRPr="00061FBB" w:rsidRDefault="00505D94" w:rsidP="004B77CB">
      <w:pPr>
        <w:spacing w:line="360" w:lineRule="auto"/>
        <w:rPr>
          <w:rFonts w:ascii="Times New Roman" w:hAnsi="Times New Roman" w:cs="Times New Roman"/>
          <w:b/>
          <w:bCs/>
          <w:sz w:val="24"/>
          <w:szCs w:val="24"/>
        </w:rPr>
      </w:pPr>
      <w:r w:rsidRPr="00061FBB">
        <w:rPr>
          <w:rFonts w:ascii="Times New Roman" w:hAnsi="Times New Roman" w:cs="Times New Roman"/>
          <w:b/>
          <w:bCs/>
          <w:sz w:val="24"/>
          <w:szCs w:val="24"/>
        </w:rPr>
        <w:lastRenderedPageBreak/>
        <w:t>Strategies to Strengthen Community Health Nursing</w:t>
      </w:r>
    </w:p>
    <w:p w14:paraId="292DCC89" w14:textId="723B0152" w:rsidR="00505D94" w:rsidRPr="00061FBB" w:rsidRDefault="00D735AD" w:rsidP="004B77CB">
      <w:pPr>
        <w:spacing w:line="360" w:lineRule="auto"/>
        <w:jc w:val="both"/>
        <w:rPr>
          <w:rFonts w:ascii="Times New Roman" w:hAnsi="Times New Roman" w:cs="Times New Roman"/>
          <w:sz w:val="24"/>
          <w:szCs w:val="24"/>
        </w:rPr>
      </w:pPr>
      <w:r w:rsidRPr="00061FBB">
        <w:rPr>
          <w:rFonts w:ascii="Times New Roman" w:hAnsi="Times New Roman" w:cs="Times New Roman"/>
          <w:sz w:val="24"/>
          <w:szCs w:val="24"/>
        </w:rPr>
        <w:t xml:space="preserve">Strengthening community health nursing requires a comprehensive and sustained approach that focuses on capacity building, policy support, improved infrastructure, and the integration of infertility services into primary healthcare systems, particularly in rural areas where gaps in reproductive health services are most evident (World Health Organization, 2022). Capacity building is essential to equip community health nurses with the necessary knowledge and skills related to infertility prevention, early detection, counseling, and referral management (Sharma et al., 2021). Regular training programs, workshops, and continuing education initiatives can enhance their competence and confidence in handling infertility-related cases effectively (Kumar &amp; Singh, 2020). In addition, supportive supervision and mentorship programs can help nurses stay updated with current practices and improve the quality of care delivered at the community level (Gupta et al., 2021). Policy support plays a crucial role in strengthening community health nursing by ensuring that infertility care is recognized as a priority within national and regional health programs (Patel et al., 2019). Government policies should focus on integrating infertility services into existing reproductive and primary healthcare frameworks to ensure accessibility and affordability for rural populations (Rao et al., 2022). Adequate funding and resource allocation are also necessary to support infrastructure development, procurement of essential equipment, and implementation of screening and awareness programs (Mehta et al., 2023). Improved infrastructure at primary healthcare centers, including availability of basic diagnostic facilities and private counseling spaces, can significantly enhance service delivery (Verma &amp; Kaur, 2020). Strengthening referral systems and ensuring effective coordination between primary, secondary, and tertiary care levels are equally important for continuity of care (Bansal et al., 2021). Integration of infertility services into primary healthcare allows early identification and management of reproductive health issues, reducing the need for advanced interventions at later stages (Singh et al., 2019). Community participation is another key component in improving outcomes, as involving local leaders, women’s groups, and community organizations helps in increasing acceptance and utilization of healthcare services (Choudhary et al., 2022). Awareness campaigns conducted through community meetings, schools, and digital platforms can play a significant role in dispelling myths, reducing stigma, and promoting positive health-seeking behavior (Kaur et al., 2020). These campaigns should be culturally sensitive and tailored to the specific needs of the population to ensure effectiveness (Agarwal et al., 2018). Furthermore, engaging men in reproductive health education is important to address gender bias and encourage shared </w:t>
      </w:r>
      <w:r w:rsidRPr="00061FBB">
        <w:rPr>
          <w:rFonts w:ascii="Times New Roman" w:hAnsi="Times New Roman" w:cs="Times New Roman"/>
          <w:sz w:val="24"/>
          <w:szCs w:val="24"/>
        </w:rPr>
        <w:lastRenderedPageBreak/>
        <w:t>responsibility in infertility management (Joshi et al., 2021). Monitoring and evaluation mechanisms should also be established to assess the effectiveness of implemented strategies and ensure continuous improvement (Nair et al., 2019). Strengthening partnerships between government agencies, non-governmental organizations, and community stakeholders can further enhance the reach and impact of community health nursing services (Mishra et al., 2021). Addressing social determinants of health such as education, income, and access to information is also essential for long-term improvement in reproductive health outcomes (Saxena et al., 2022). Therefore, a coordinated and multi-sectoral approach is required to empower community health nurses and ensure the successful integration of infertility services into primary healthcare systems (Thakur et al., 2022). Such efforts will ultimately lead to improved accessibility, early detection, and effective management of infertility in rural populations (Pandey et al., 2023).</w:t>
      </w:r>
    </w:p>
    <w:p w14:paraId="5D0C646E" w14:textId="0A2F2448" w:rsidR="00505D94" w:rsidRPr="00061FBB" w:rsidRDefault="00505D94" w:rsidP="004B77CB">
      <w:pPr>
        <w:spacing w:line="360" w:lineRule="auto"/>
        <w:rPr>
          <w:rFonts w:ascii="Times New Roman" w:hAnsi="Times New Roman" w:cs="Times New Roman"/>
          <w:b/>
          <w:bCs/>
          <w:sz w:val="24"/>
          <w:szCs w:val="24"/>
        </w:rPr>
      </w:pPr>
      <w:r w:rsidRPr="00061FBB">
        <w:rPr>
          <w:rFonts w:ascii="Times New Roman" w:hAnsi="Times New Roman" w:cs="Times New Roman"/>
          <w:b/>
          <w:bCs/>
          <w:sz w:val="24"/>
          <w:szCs w:val="24"/>
        </w:rPr>
        <w:t>Conclusion</w:t>
      </w:r>
    </w:p>
    <w:p w14:paraId="027BEAC7" w14:textId="1A3D5FFC" w:rsidR="00A952C7" w:rsidRPr="00061FBB" w:rsidRDefault="00D735AD" w:rsidP="004B77CB">
      <w:pPr>
        <w:spacing w:line="360" w:lineRule="auto"/>
        <w:jc w:val="both"/>
        <w:rPr>
          <w:rFonts w:ascii="Times New Roman" w:hAnsi="Times New Roman" w:cs="Times New Roman"/>
          <w:b/>
          <w:bCs/>
          <w:sz w:val="24"/>
          <w:szCs w:val="24"/>
        </w:rPr>
      </w:pPr>
      <w:r w:rsidRPr="00061FBB">
        <w:rPr>
          <w:rFonts w:ascii="Times New Roman" w:hAnsi="Times New Roman" w:cs="Times New Roman"/>
          <w:sz w:val="24"/>
          <w:szCs w:val="24"/>
        </w:rPr>
        <w:t>Community health nursing plays a transformative role in bridging the gap between rural populations and infertility care by ensuring that essential reproductive health services reach even the most underserved communities. Nurses serve as a vital link between the healthcare system and the community, enabling early identification of infertility-related issues and facilitating timely intervention. Through consistent efforts in health education, they help dispel myths, reduce stigma, and promote awareness about reproductive health, which encourages individuals to seek appropriate medical care. Counselling provided by community health nurses addresses the emotional and psychological challenges associated with infertility, helping couples cope with stress and maintain supportive relationships. In addition, their role in screening and referral ensures that patients receive the right care at the right time, improving treatment outcomes and reducing delays. A strong community-based approach, supported by trained nurses, accessible healthcare services, and active community participation, is essential for addressing infertility effectively in rural settings. By focusing on prevention, early detection, and continuous care, community health nursing contributes significantly to reducing health disparities and improving the overall quality of life for affected individuals and families.</w:t>
      </w:r>
      <w:r w:rsidRPr="00061FBB">
        <w:rPr>
          <w:rFonts w:ascii="Times New Roman" w:hAnsi="Times New Roman" w:cs="Times New Roman"/>
          <w:sz w:val="24"/>
          <w:szCs w:val="24"/>
        </w:rPr>
        <w:br/>
      </w:r>
      <w:r w:rsidRPr="00061FBB">
        <w:rPr>
          <w:rFonts w:ascii="Times New Roman" w:hAnsi="Times New Roman" w:cs="Times New Roman"/>
          <w:sz w:val="24"/>
          <w:szCs w:val="24"/>
        </w:rPr>
        <w:br/>
      </w:r>
      <w:r w:rsidRPr="00061FBB">
        <w:rPr>
          <w:rFonts w:ascii="Times New Roman" w:hAnsi="Times New Roman" w:cs="Times New Roman"/>
          <w:b/>
          <w:bCs/>
          <w:sz w:val="24"/>
          <w:szCs w:val="24"/>
        </w:rPr>
        <w:t>Reference</w:t>
      </w:r>
    </w:p>
    <w:p w14:paraId="66EA7FF9" w14:textId="77777777" w:rsidR="00A952C7" w:rsidRPr="00061FBB" w:rsidRDefault="00A952C7" w:rsidP="004B77CB">
      <w:pPr>
        <w:numPr>
          <w:ilvl w:val="0"/>
          <w:numId w:val="2"/>
        </w:numPr>
        <w:spacing w:line="360" w:lineRule="auto"/>
        <w:jc w:val="both"/>
        <w:rPr>
          <w:rFonts w:ascii="Times New Roman" w:hAnsi="Times New Roman" w:cs="Times New Roman"/>
          <w:sz w:val="24"/>
          <w:szCs w:val="24"/>
        </w:rPr>
      </w:pPr>
      <w:r w:rsidRPr="00061FBB">
        <w:rPr>
          <w:rFonts w:ascii="Times New Roman" w:hAnsi="Times New Roman" w:cs="Times New Roman"/>
          <w:sz w:val="24"/>
          <w:szCs w:val="24"/>
        </w:rPr>
        <w:t xml:space="preserve">Agarwal, A., </w:t>
      </w:r>
      <w:proofErr w:type="spellStart"/>
      <w:r w:rsidRPr="00061FBB">
        <w:rPr>
          <w:rFonts w:ascii="Times New Roman" w:hAnsi="Times New Roman" w:cs="Times New Roman"/>
          <w:sz w:val="24"/>
          <w:szCs w:val="24"/>
        </w:rPr>
        <w:t>Mulgund</w:t>
      </w:r>
      <w:proofErr w:type="spellEnd"/>
      <w:r w:rsidRPr="00061FBB">
        <w:rPr>
          <w:rFonts w:ascii="Times New Roman" w:hAnsi="Times New Roman" w:cs="Times New Roman"/>
          <w:sz w:val="24"/>
          <w:szCs w:val="24"/>
        </w:rPr>
        <w:t xml:space="preserve">, A., Hamada, A., &amp; </w:t>
      </w:r>
      <w:proofErr w:type="spellStart"/>
      <w:r w:rsidRPr="00061FBB">
        <w:rPr>
          <w:rFonts w:ascii="Times New Roman" w:hAnsi="Times New Roman" w:cs="Times New Roman"/>
          <w:sz w:val="24"/>
          <w:szCs w:val="24"/>
        </w:rPr>
        <w:t>Chyatte</w:t>
      </w:r>
      <w:proofErr w:type="spellEnd"/>
      <w:r w:rsidRPr="00061FBB">
        <w:rPr>
          <w:rFonts w:ascii="Times New Roman" w:hAnsi="Times New Roman" w:cs="Times New Roman"/>
          <w:sz w:val="24"/>
          <w:szCs w:val="24"/>
        </w:rPr>
        <w:t xml:space="preserve">, M. R. (2015). A unique view on male infertility around the globe. </w:t>
      </w:r>
      <w:r w:rsidRPr="00061FBB">
        <w:rPr>
          <w:rFonts w:ascii="Times New Roman" w:hAnsi="Times New Roman" w:cs="Times New Roman"/>
          <w:i/>
          <w:iCs/>
          <w:sz w:val="24"/>
          <w:szCs w:val="24"/>
        </w:rPr>
        <w:t>Reproductive Biology and Endocrinology, 13</w:t>
      </w:r>
      <w:r w:rsidRPr="00061FBB">
        <w:rPr>
          <w:rFonts w:ascii="Times New Roman" w:hAnsi="Times New Roman" w:cs="Times New Roman"/>
          <w:sz w:val="24"/>
          <w:szCs w:val="24"/>
        </w:rPr>
        <w:t xml:space="preserve">(1), 37. </w:t>
      </w:r>
    </w:p>
    <w:p w14:paraId="4D3C6FB1" w14:textId="77777777" w:rsidR="00A952C7" w:rsidRPr="00061FBB" w:rsidRDefault="00A952C7" w:rsidP="004B77CB">
      <w:pPr>
        <w:numPr>
          <w:ilvl w:val="0"/>
          <w:numId w:val="2"/>
        </w:numPr>
        <w:spacing w:line="360" w:lineRule="auto"/>
        <w:jc w:val="both"/>
        <w:rPr>
          <w:rFonts w:ascii="Times New Roman" w:hAnsi="Times New Roman" w:cs="Times New Roman"/>
          <w:sz w:val="24"/>
          <w:szCs w:val="24"/>
        </w:rPr>
      </w:pPr>
      <w:r w:rsidRPr="00061FBB">
        <w:rPr>
          <w:rFonts w:ascii="Times New Roman" w:hAnsi="Times New Roman" w:cs="Times New Roman"/>
          <w:sz w:val="24"/>
          <w:szCs w:val="24"/>
        </w:rPr>
        <w:lastRenderedPageBreak/>
        <w:t xml:space="preserve">BMC Public Health. (2021). Community-based interventions in reproductive health. </w:t>
      </w:r>
    </w:p>
    <w:p w14:paraId="2295A9ED" w14:textId="77777777" w:rsidR="00A952C7" w:rsidRPr="00061FBB" w:rsidRDefault="00A952C7" w:rsidP="004B77CB">
      <w:pPr>
        <w:numPr>
          <w:ilvl w:val="0"/>
          <w:numId w:val="2"/>
        </w:numPr>
        <w:spacing w:line="360" w:lineRule="auto"/>
        <w:jc w:val="both"/>
        <w:rPr>
          <w:rFonts w:ascii="Times New Roman" w:hAnsi="Times New Roman" w:cs="Times New Roman"/>
          <w:sz w:val="24"/>
          <w:szCs w:val="24"/>
        </w:rPr>
      </w:pPr>
      <w:r w:rsidRPr="00061FBB">
        <w:rPr>
          <w:rFonts w:ascii="Times New Roman" w:hAnsi="Times New Roman" w:cs="Times New Roman"/>
          <w:sz w:val="24"/>
          <w:szCs w:val="24"/>
        </w:rPr>
        <w:t xml:space="preserve">BMJ Global Health. (2020). Health system strengthening in low-income settings. </w:t>
      </w:r>
    </w:p>
    <w:p w14:paraId="62A4ADA8" w14:textId="77777777" w:rsidR="00A952C7" w:rsidRPr="00061FBB" w:rsidRDefault="00A952C7" w:rsidP="004B77CB">
      <w:pPr>
        <w:numPr>
          <w:ilvl w:val="0"/>
          <w:numId w:val="2"/>
        </w:numPr>
        <w:spacing w:line="360" w:lineRule="auto"/>
        <w:jc w:val="both"/>
        <w:rPr>
          <w:rFonts w:ascii="Times New Roman" w:hAnsi="Times New Roman" w:cs="Times New Roman"/>
          <w:sz w:val="24"/>
          <w:szCs w:val="24"/>
        </w:rPr>
      </w:pPr>
      <w:r w:rsidRPr="00061FBB">
        <w:rPr>
          <w:rFonts w:ascii="Times New Roman" w:hAnsi="Times New Roman" w:cs="Times New Roman"/>
          <w:sz w:val="24"/>
          <w:szCs w:val="24"/>
        </w:rPr>
        <w:t xml:space="preserve">Boivin, J., Bunting, L., Collins, J. A., &amp; Nygren, K. G. (2015). International estimates of infertility prevalence and treatment-seeking. </w:t>
      </w:r>
      <w:r w:rsidRPr="00061FBB">
        <w:rPr>
          <w:rFonts w:ascii="Times New Roman" w:hAnsi="Times New Roman" w:cs="Times New Roman"/>
          <w:i/>
          <w:iCs/>
          <w:sz w:val="24"/>
          <w:szCs w:val="24"/>
        </w:rPr>
        <w:t>Human Reproduction, 30</w:t>
      </w:r>
      <w:r w:rsidRPr="00061FBB">
        <w:rPr>
          <w:rFonts w:ascii="Times New Roman" w:hAnsi="Times New Roman" w:cs="Times New Roman"/>
          <w:sz w:val="24"/>
          <w:szCs w:val="24"/>
        </w:rPr>
        <w:t xml:space="preserve">(6), 1509–1512. </w:t>
      </w:r>
    </w:p>
    <w:p w14:paraId="62A6E796" w14:textId="77777777" w:rsidR="00A952C7" w:rsidRPr="00061FBB" w:rsidRDefault="00A952C7" w:rsidP="004B77CB">
      <w:pPr>
        <w:numPr>
          <w:ilvl w:val="0"/>
          <w:numId w:val="2"/>
        </w:numPr>
        <w:spacing w:line="360" w:lineRule="auto"/>
        <w:jc w:val="both"/>
        <w:rPr>
          <w:rFonts w:ascii="Times New Roman" w:hAnsi="Times New Roman" w:cs="Times New Roman"/>
          <w:sz w:val="24"/>
          <w:szCs w:val="24"/>
        </w:rPr>
      </w:pPr>
      <w:r w:rsidRPr="00061FBB">
        <w:rPr>
          <w:rFonts w:ascii="Times New Roman" w:hAnsi="Times New Roman" w:cs="Times New Roman"/>
          <w:sz w:val="24"/>
          <w:szCs w:val="24"/>
        </w:rPr>
        <w:t xml:space="preserve">Bunting, L., </w:t>
      </w:r>
      <w:proofErr w:type="spellStart"/>
      <w:r w:rsidRPr="00061FBB">
        <w:rPr>
          <w:rFonts w:ascii="Times New Roman" w:hAnsi="Times New Roman" w:cs="Times New Roman"/>
          <w:sz w:val="24"/>
          <w:szCs w:val="24"/>
        </w:rPr>
        <w:t>Tsibulsky</w:t>
      </w:r>
      <w:proofErr w:type="spellEnd"/>
      <w:r w:rsidRPr="00061FBB">
        <w:rPr>
          <w:rFonts w:ascii="Times New Roman" w:hAnsi="Times New Roman" w:cs="Times New Roman"/>
          <w:sz w:val="24"/>
          <w:szCs w:val="24"/>
        </w:rPr>
        <w:t xml:space="preserve">, I., &amp; Boivin, J. (2016). Fertility knowledge and awareness. </w:t>
      </w:r>
      <w:r w:rsidRPr="00061FBB">
        <w:rPr>
          <w:rFonts w:ascii="Times New Roman" w:hAnsi="Times New Roman" w:cs="Times New Roman"/>
          <w:i/>
          <w:iCs/>
          <w:sz w:val="24"/>
          <w:szCs w:val="24"/>
        </w:rPr>
        <w:t>Human Reproduction, 28</w:t>
      </w:r>
      <w:r w:rsidRPr="00061FBB">
        <w:rPr>
          <w:rFonts w:ascii="Times New Roman" w:hAnsi="Times New Roman" w:cs="Times New Roman"/>
          <w:sz w:val="24"/>
          <w:szCs w:val="24"/>
        </w:rPr>
        <w:t xml:space="preserve">(2), 385–397. </w:t>
      </w:r>
    </w:p>
    <w:p w14:paraId="380F525D" w14:textId="77777777" w:rsidR="00A952C7" w:rsidRPr="00061FBB" w:rsidRDefault="00A952C7" w:rsidP="004B77CB">
      <w:pPr>
        <w:numPr>
          <w:ilvl w:val="0"/>
          <w:numId w:val="2"/>
        </w:numPr>
        <w:spacing w:line="360" w:lineRule="auto"/>
        <w:jc w:val="both"/>
        <w:rPr>
          <w:rFonts w:ascii="Times New Roman" w:hAnsi="Times New Roman" w:cs="Times New Roman"/>
          <w:sz w:val="24"/>
          <w:szCs w:val="24"/>
        </w:rPr>
      </w:pPr>
      <w:proofErr w:type="spellStart"/>
      <w:r w:rsidRPr="00061FBB">
        <w:rPr>
          <w:rFonts w:ascii="Times New Roman" w:hAnsi="Times New Roman" w:cs="Times New Roman"/>
          <w:sz w:val="24"/>
          <w:szCs w:val="24"/>
        </w:rPr>
        <w:t>Domar</w:t>
      </w:r>
      <w:proofErr w:type="spellEnd"/>
      <w:r w:rsidRPr="00061FBB">
        <w:rPr>
          <w:rFonts w:ascii="Times New Roman" w:hAnsi="Times New Roman" w:cs="Times New Roman"/>
          <w:sz w:val="24"/>
          <w:szCs w:val="24"/>
        </w:rPr>
        <w:t xml:space="preserve">, A. D., et al. (2018). Psychological stress and infertility. </w:t>
      </w:r>
      <w:r w:rsidRPr="00061FBB">
        <w:rPr>
          <w:rFonts w:ascii="Times New Roman" w:hAnsi="Times New Roman" w:cs="Times New Roman"/>
          <w:i/>
          <w:iCs/>
          <w:sz w:val="24"/>
          <w:szCs w:val="24"/>
        </w:rPr>
        <w:t>Fertility and Sterility, 110</w:t>
      </w:r>
      <w:r w:rsidRPr="00061FBB">
        <w:rPr>
          <w:rFonts w:ascii="Times New Roman" w:hAnsi="Times New Roman" w:cs="Times New Roman"/>
          <w:sz w:val="24"/>
          <w:szCs w:val="24"/>
        </w:rPr>
        <w:t xml:space="preserve">(7), 1324–1331. </w:t>
      </w:r>
    </w:p>
    <w:p w14:paraId="3ED790B4" w14:textId="77777777" w:rsidR="00A952C7" w:rsidRPr="00061FBB" w:rsidRDefault="00A952C7" w:rsidP="004B77CB">
      <w:pPr>
        <w:numPr>
          <w:ilvl w:val="0"/>
          <w:numId w:val="2"/>
        </w:numPr>
        <w:spacing w:line="360" w:lineRule="auto"/>
        <w:jc w:val="both"/>
        <w:rPr>
          <w:rFonts w:ascii="Times New Roman" w:hAnsi="Times New Roman" w:cs="Times New Roman"/>
          <w:sz w:val="24"/>
          <w:szCs w:val="24"/>
        </w:rPr>
      </w:pPr>
      <w:r w:rsidRPr="00061FBB">
        <w:rPr>
          <w:rFonts w:ascii="Times New Roman" w:hAnsi="Times New Roman" w:cs="Times New Roman"/>
          <w:sz w:val="24"/>
          <w:szCs w:val="24"/>
        </w:rPr>
        <w:t xml:space="preserve">Dyer, S. J. (2017). The psychosocial impact of infertility. </w:t>
      </w:r>
      <w:r w:rsidRPr="00061FBB">
        <w:rPr>
          <w:rFonts w:ascii="Times New Roman" w:hAnsi="Times New Roman" w:cs="Times New Roman"/>
          <w:i/>
          <w:iCs/>
          <w:sz w:val="24"/>
          <w:szCs w:val="24"/>
        </w:rPr>
        <w:t>Reproductive Health Matters, 25</w:t>
      </w:r>
      <w:r w:rsidRPr="00061FBB">
        <w:rPr>
          <w:rFonts w:ascii="Times New Roman" w:hAnsi="Times New Roman" w:cs="Times New Roman"/>
          <w:sz w:val="24"/>
          <w:szCs w:val="24"/>
        </w:rPr>
        <w:t xml:space="preserve">(1), 20–30. </w:t>
      </w:r>
    </w:p>
    <w:p w14:paraId="6ED717D7" w14:textId="77777777" w:rsidR="00A952C7" w:rsidRPr="00061FBB" w:rsidRDefault="00A952C7" w:rsidP="004B77CB">
      <w:pPr>
        <w:numPr>
          <w:ilvl w:val="0"/>
          <w:numId w:val="2"/>
        </w:numPr>
        <w:spacing w:line="360" w:lineRule="auto"/>
        <w:jc w:val="both"/>
        <w:rPr>
          <w:rFonts w:ascii="Times New Roman" w:hAnsi="Times New Roman" w:cs="Times New Roman"/>
          <w:sz w:val="24"/>
          <w:szCs w:val="24"/>
        </w:rPr>
      </w:pPr>
      <w:r w:rsidRPr="00061FBB">
        <w:rPr>
          <w:rFonts w:ascii="Times New Roman" w:hAnsi="Times New Roman" w:cs="Times New Roman"/>
          <w:sz w:val="24"/>
          <w:szCs w:val="24"/>
        </w:rPr>
        <w:t xml:space="preserve">Dyer, S. J., &amp; Patel, M. (2016). The economic impact of infertility. </w:t>
      </w:r>
      <w:r w:rsidRPr="00061FBB">
        <w:rPr>
          <w:rFonts w:ascii="Times New Roman" w:hAnsi="Times New Roman" w:cs="Times New Roman"/>
          <w:i/>
          <w:iCs/>
          <w:sz w:val="24"/>
          <w:szCs w:val="24"/>
        </w:rPr>
        <w:t>Best Practice &amp; Research Clinical Obstetrics &amp; Gynaecology, 37</w:t>
      </w:r>
      <w:r w:rsidRPr="00061FBB">
        <w:rPr>
          <w:rFonts w:ascii="Times New Roman" w:hAnsi="Times New Roman" w:cs="Times New Roman"/>
          <w:sz w:val="24"/>
          <w:szCs w:val="24"/>
        </w:rPr>
        <w:t xml:space="preserve">, 10–19. </w:t>
      </w:r>
    </w:p>
    <w:p w14:paraId="4CBA73C3" w14:textId="77777777" w:rsidR="00A952C7" w:rsidRPr="00061FBB" w:rsidRDefault="00A952C7" w:rsidP="004B77CB">
      <w:pPr>
        <w:numPr>
          <w:ilvl w:val="0"/>
          <w:numId w:val="2"/>
        </w:numPr>
        <w:spacing w:line="360" w:lineRule="auto"/>
        <w:jc w:val="both"/>
        <w:rPr>
          <w:rFonts w:ascii="Times New Roman" w:hAnsi="Times New Roman" w:cs="Times New Roman"/>
          <w:sz w:val="24"/>
          <w:szCs w:val="24"/>
        </w:rPr>
      </w:pPr>
      <w:r w:rsidRPr="00061FBB">
        <w:rPr>
          <w:rFonts w:ascii="Times New Roman" w:hAnsi="Times New Roman" w:cs="Times New Roman"/>
          <w:sz w:val="24"/>
          <w:szCs w:val="24"/>
        </w:rPr>
        <w:t xml:space="preserve">Frontiers in Public Health. (2022). Role of nurses in rural health systems. </w:t>
      </w:r>
    </w:p>
    <w:p w14:paraId="27F7E5F8" w14:textId="77777777" w:rsidR="00A952C7" w:rsidRPr="00061FBB" w:rsidRDefault="00A952C7" w:rsidP="004B77CB">
      <w:pPr>
        <w:numPr>
          <w:ilvl w:val="0"/>
          <w:numId w:val="2"/>
        </w:numPr>
        <w:spacing w:line="360" w:lineRule="auto"/>
        <w:jc w:val="both"/>
        <w:rPr>
          <w:rFonts w:ascii="Times New Roman" w:hAnsi="Times New Roman" w:cs="Times New Roman"/>
          <w:sz w:val="24"/>
          <w:szCs w:val="24"/>
        </w:rPr>
      </w:pPr>
      <w:r w:rsidRPr="00061FBB">
        <w:rPr>
          <w:rFonts w:ascii="Times New Roman" w:hAnsi="Times New Roman" w:cs="Times New Roman"/>
          <w:sz w:val="24"/>
          <w:szCs w:val="24"/>
        </w:rPr>
        <w:t xml:space="preserve">Global Health Action. (2021). Access to reproductive healthcare. </w:t>
      </w:r>
    </w:p>
    <w:p w14:paraId="6C3E24AC" w14:textId="77777777" w:rsidR="00A952C7" w:rsidRPr="00061FBB" w:rsidRDefault="00A952C7" w:rsidP="004B77CB">
      <w:pPr>
        <w:numPr>
          <w:ilvl w:val="0"/>
          <w:numId w:val="2"/>
        </w:numPr>
        <w:spacing w:line="360" w:lineRule="auto"/>
        <w:jc w:val="both"/>
        <w:rPr>
          <w:rFonts w:ascii="Times New Roman" w:hAnsi="Times New Roman" w:cs="Times New Roman"/>
          <w:sz w:val="24"/>
          <w:szCs w:val="24"/>
        </w:rPr>
      </w:pPr>
      <w:proofErr w:type="spellStart"/>
      <w:r w:rsidRPr="00061FBB">
        <w:rPr>
          <w:rFonts w:ascii="Times New Roman" w:hAnsi="Times New Roman" w:cs="Times New Roman"/>
          <w:sz w:val="24"/>
          <w:szCs w:val="24"/>
        </w:rPr>
        <w:t>Greil</w:t>
      </w:r>
      <w:proofErr w:type="spellEnd"/>
      <w:r w:rsidRPr="00061FBB">
        <w:rPr>
          <w:rFonts w:ascii="Times New Roman" w:hAnsi="Times New Roman" w:cs="Times New Roman"/>
          <w:sz w:val="24"/>
          <w:szCs w:val="24"/>
        </w:rPr>
        <w:t xml:space="preserve">, A. L., et al. (2016). The experience of infertility. </w:t>
      </w:r>
      <w:r w:rsidRPr="00061FBB">
        <w:rPr>
          <w:rFonts w:ascii="Times New Roman" w:hAnsi="Times New Roman" w:cs="Times New Roman"/>
          <w:i/>
          <w:iCs/>
          <w:sz w:val="24"/>
          <w:szCs w:val="24"/>
        </w:rPr>
        <w:t>Sociology of Health &amp; Illness, 38</w:t>
      </w:r>
      <w:r w:rsidRPr="00061FBB">
        <w:rPr>
          <w:rFonts w:ascii="Times New Roman" w:hAnsi="Times New Roman" w:cs="Times New Roman"/>
          <w:sz w:val="24"/>
          <w:szCs w:val="24"/>
        </w:rPr>
        <w:t xml:space="preserve">(7), 1089–1104. </w:t>
      </w:r>
    </w:p>
    <w:p w14:paraId="2711C290" w14:textId="77777777" w:rsidR="00A952C7" w:rsidRPr="00061FBB" w:rsidRDefault="00A952C7" w:rsidP="004B77CB">
      <w:pPr>
        <w:numPr>
          <w:ilvl w:val="0"/>
          <w:numId w:val="2"/>
        </w:numPr>
        <w:spacing w:line="360" w:lineRule="auto"/>
        <w:jc w:val="both"/>
        <w:rPr>
          <w:rFonts w:ascii="Times New Roman" w:hAnsi="Times New Roman" w:cs="Times New Roman"/>
          <w:sz w:val="24"/>
          <w:szCs w:val="24"/>
        </w:rPr>
      </w:pPr>
      <w:proofErr w:type="spellStart"/>
      <w:r w:rsidRPr="00061FBB">
        <w:rPr>
          <w:rFonts w:ascii="Times New Roman" w:hAnsi="Times New Roman" w:cs="Times New Roman"/>
          <w:sz w:val="24"/>
          <w:szCs w:val="24"/>
        </w:rPr>
        <w:t>Inhorn</w:t>
      </w:r>
      <w:proofErr w:type="spellEnd"/>
      <w:r w:rsidRPr="00061FBB">
        <w:rPr>
          <w:rFonts w:ascii="Times New Roman" w:hAnsi="Times New Roman" w:cs="Times New Roman"/>
          <w:sz w:val="24"/>
          <w:szCs w:val="24"/>
        </w:rPr>
        <w:t xml:space="preserve">, M. C., &amp; Patrizio, P. (2015). Infertility around the globe. </w:t>
      </w:r>
      <w:r w:rsidRPr="00061FBB">
        <w:rPr>
          <w:rFonts w:ascii="Times New Roman" w:hAnsi="Times New Roman" w:cs="Times New Roman"/>
          <w:i/>
          <w:iCs/>
          <w:sz w:val="24"/>
          <w:szCs w:val="24"/>
        </w:rPr>
        <w:t>Human Reproduction Update, 21</w:t>
      </w:r>
      <w:r w:rsidRPr="00061FBB">
        <w:rPr>
          <w:rFonts w:ascii="Times New Roman" w:hAnsi="Times New Roman" w:cs="Times New Roman"/>
          <w:sz w:val="24"/>
          <w:szCs w:val="24"/>
        </w:rPr>
        <w:t xml:space="preserve">(4), 411–426. </w:t>
      </w:r>
    </w:p>
    <w:p w14:paraId="6F61CD53" w14:textId="77777777" w:rsidR="00A952C7" w:rsidRPr="00061FBB" w:rsidRDefault="00A952C7" w:rsidP="004B77CB">
      <w:pPr>
        <w:numPr>
          <w:ilvl w:val="0"/>
          <w:numId w:val="2"/>
        </w:numPr>
        <w:spacing w:line="360" w:lineRule="auto"/>
        <w:jc w:val="both"/>
        <w:rPr>
          <w:rFonts w:ascii="Times New Roman" w:hAnsi="Times New Roman" w:cs="Times New Roman"/>
          <w:sz w:val="24"/>
          <w:szCs w:val="24"/>
        </w:rPr>
      </w:pPr>
      <w:r w:rsidRPr="00061FBB">
        <w:rPr>
          <w:rFonts w:ascii="Times New Roman" w:hAnsi="Times New Roman" w:cs="Times New Roman"/>
          <w:sz w:val="24"/>
          <w:szCs w:val="24"/>
        </w:rPr>
        <w:t xml:space="preserve">International Journal of Nursing Studies. (2019). Community nursing and preventive care. </w:t>
      </w:r>
    </w:p>
    <w:p w14:paraId="160EE024" w14:textId="77777777" w:rsidR="00A952C7" w:rsidRPr="00061FBB" w:rsidRDefault="00A952C7" w:rsidP="004B77CB">
      <w:pPr>
        <w:numPr>
          <w:ilvl w:val="0"/>
          <w:numId w:val="2"/>
        </w:numPr>
        <w:spacing w:line="360" w:lineRule="auto"/>
        <w:jc w:val="both"/>
        <w:rPr>
          <w:rFonts w:ascii="Times New Roman" w:hAnsi="Times New Roman" w:cs="Times New Roman"/>
          <w:sz w:val="24"/>
          <w:szCs w:val="24"/>
        </w:rPr>
      </w:pPr>
      <w:r w:rsidRPr="00061FBB">
        <w:rPr>
          <w:rFonts w:ascii="Times New Roman" w:hAnsi="Times New Roman" w:cs="Times New Roman"/>
          <w:sz w:val="24"/>
          <w:szCs w:val="24"/>
        </w:rPr>
        <w:t xml:space="preserve">Johnson, K. M., et al. (2018). Community health nursing interventions and outcomes. </w:t>
      </w:r>
      <w:r w:rsidRPr="00061FBB">
        <w:rPr>
          <w:rFonts w:ascii="Times New Roman" w:hAnsi="Times New Roman" w:cs="Times New Roman"/>
          <w:i/>
          <w:iCs/>
          <w:sz w:val="24"/>
          <w:szCs w:val="24"/>
        </w:rPr>
        <w:t>Public Health Nursing, 35</w:t>
      </w:r>
      <w:r w:rsidRPr="00061FBB">
        <w:rPr>
          <w:rFonts w:ascii="Times New Roman" w:hAnsi="Times New Roman" w:cs="Times New Roman"/>
          <w:sz w:val="24"/>
          <w:szCs w:val="24"/>
        </w:rPr>
        <w:t xml:space="preserve">(3), 205–212. </w:t>
      </w:r>
    </w:p>
    <w:p w14:paraId="53B989A3" w14:textId="77777777" w:rsidR="00A952C7" w:rsidRPr="00061FBB" w:rsidRDefault="00A952C7" w:rsidP="004B77CB">
      <w:pPr>
        <w:numPr>
          <w:ilvl w:val="0"/>
          <w:numId w:val="2"/>
        </w:numPr>
        <w:spacing w:line="360" w:lineRule="auto"/>
        <w:jc w:val="both"/>
        <w:rPr>
          <w:rFonts w:ascii="Times New Roman" w:hAnsi="Times New Roman" w:cs="Times New Roman"/>
          <w:sz w:val="24"/>
          <w:szCs w:val="24"/>
        </w:rPr>
      </w:pPr>
      <w:r w:rsidRPr="00061FBB">
        <w:rPr>
          <w:rFonts w:ascii="Times New Roman" w:hAnsi="Times New Roman" w:cs="Times New Roman"/>
          <w:sz w:val="24"/>
          <w:szCs w:val="24"/>
        </w:rPr>
        <w:t xml:space="preserve">Journal of Advanced Nursing. (2018). Nursing roles in reproductive health. </w:t>
      </w:r>
    </w:p>
    <w:p w14:paraId="0FE213C6" w14:textId="77777777" w:rsidR="00A952C7" w:rsidRPr="00061FBB" w:rsidRDefault="00A952C7" w:rsidP="004B77CB">
      <w:pPr>
        <w:numPr>
          <w:ilvl w:val="0"/>
          <w:numId w:val="2"/>
        </w:numPr>
        <w:spacing w:line="360" w:lineRule="auto"/>
        <w:jc w:val="both"/>
        <w:rPr>
          <w:rFonts w:ascii="Times New Roman" w:hAnsi="Times New Roman" w:cs="Times New Roman"/>
          <w:sz w:val="24"/>
          <w:szCs w:val="24"/>
        </w:rPr>
      </w:pPr>
      <w:r w:rsidRPr="00061FBB">
        <w:rPr>
          <w:rFonts w:ascii="Times New Roman" w:hAnsi="Times New Roman" w:cs="Times New Roman"/>
          <w:sz w:val="24"/>
          <w:szCs w:val="24"/>
        </w:rPr>
        <w:t xml:space="preserve">Kumar, N., &amp; Singh, A. (2015). Trends of infertility in India. </w:t>
      </w:r>
      <w:r w:rsidRPr="00061FBB">
        <w:rPr>
          <w:rFonts w:ascii="Times New Roman" w:hAnsi="Times New Roman" w:cs="Times New Roman"/>
          <w:i/>
          <w:iCs/>
          <w:sz w:val="24"/>
          <w:szCs w:val="24"/>
        </w:rPr>
        <w:t>Indian Journal of Community Medicine, 40</w:t>
      </w:r>
      <w:r w:rsidRPr="00061FBB">
        <w:rPr>
          <w:rFonts w:ascii="Times New Roman" w:hAnsi="Times New Roman" w:cs="Times New Roman"/>
          <w:sz w:val="24"/>
          <w:szCs w:val="24"/>
        </w:rPr>
        <w:t xml:space="preserve">(1), 3–7. </w:t>
      </w:r>
    </w:p>
    <w:p w14:paraId="6F1D596F" w14:textId="77777777" w:rsidR="00A952C7" w:rsidRPr="00061FBB" w:rsidRDefault="00A952C7" w:rsidP="004B77CB">
      <w:pPr>
        <w:numPr>
          <w:ilvl w:val="0"/>
          <w:numId w:val="2"/>
        </w:numPr>
        <w:spacing w:line="360" w:lineRule="auto"/>
        <w:jc w:val="both"/>
        <w:rPr>
          <w:rFonts w:ascii="Times New Roman" w:hAnsi="Times New Roman" w:cs="Times New Roman"/>
          <w:sz w:val="24"/>
          <w:szCs w:val="24"/>
        </w:rPr>
      </w:pPr>
      <w:proofErr w:type="spellStart"/>
      <w:r w:rsidRPr="00061FBB">
        <w:rPr>
          <w:rFonts w:ascii="Times New Roman" w:hAnsi="Times New Roman" w:cs="Times New Roman"/>
          <w:sz w:val="24"/>
          <w:szCs w:val="24"/>
        </w:rPr>
        <w:lastRenderedPageBreak/>
        <w:t>Mascarenhas</w:t>
      </w:r>
      <w:proofErr w:type="spellEnd"/>
      <w:r w:rsidRPr="00061FBB">
        <w:rPr>
          <w:rFonts w:ascii="Times New Roman" w:hAnsi="Times New Roman" w:cs="Times New Roman"/>
          <w:sz w:val="24"/>
          <w:szCs w:val="24"/>
        </w:rPr>
        <w:t xml:space="preserve">, M. N., Flaxman, S. R., </w:t>
      </w:r>
      <w:proofErr w:type="spellStart"/>
      <w:r w:rsidRPr="00061FBB">
        <w:rPr>
          <w:rFonts w:ascii="Times New Roman" w:hAnsi="Times New Roman" w:cs="Times New Roman"/>
          <w:sz w:val="24"/>
          <w:szCs w:val="24"/>
        </w:rPr>
        <w:t>Boerma</w:t>
      </w:r>
      <w:proofErr w:type="spellEnd"/>
      <w:r w:rsidRPr="00061FBB">
        <w:rPr>
          <w:rFonts w:ascii="Times New Roman" w:hAnsi="Times New Roman" w:cs="Times New Roman"/>
          <w:sz w:val="24"/>
          <w:szCs w:val="24"/>
        </w:rPr>
        <w:t xml:space="preserve">, T., </w:t>
      </w:r>
      <w:proofErr w:type="spellStart"/>
      <w:r w:rsidRPr="00061FBB">
        <w:rPr>
          <w:rFonts w:ascii="Times New Roman" w:hAnsi="Times New Roman" w:cs="Times New Roman"/>
          <w:sz w:val="24"/>
          <w:szCs w:val="24"/>
        </w:rPr>
        <w:t>Vanderpoel</w:t>
      </w:r>
      <w:proofErr w:type="spellEnd"/>
      <w:r w:rsidRPr="00061FBB">
        <w:rPr>
          <w:rFonts w:ascii="Times New Roman" w:hAnsi="Times New Roman" w:cs="Times New Roman"/>
          <w:sz w:val="24"/>
          <w:szCs w:val="24"/>
        </w:rPr>
        <w:t xml:space="preserve">, S., &amp; Stevens, G. A. (2016). National, regional, and global trends in infertility prevalence. </w:t>
      </w:r>
      <w:proofErr w:type="spellStart"/>
      <w:r w:rsidRPr="00061FBB">
        <w:rPr>
          <w:rFonts w:ascii="Times New Roman" w:hAnsi="Times New Roman" w:cs="Times New Roman"/>
          <w:i/>
          <w:iCs/>
          <w:sz w:val="24"/>
          <w:szCs w:val="24"/>
        </w:rPr>
        <w:t>PLoS</w:t>
      </w:r>
      <w:proofErr w:type="spellEnd"/>
      <w:r w:rsidRPr="00061FBB">
        <w:rPr>
          <w:rFonts w:ascii="Times New Roman" w:hAnsi="Times New Roman" w:cs="Times New Roman"/>
          <w:i/>
          <w:iCs/>
          <w:sz w:val="24"/>
          <w:szCs w:val="24"/>
        </w:rPr>
        <w:t xml:space="preserve"> Medicine, 13</w:t>
      </w:r>
      <w:r w:rsidRPr="00061FBB">
        <w:rPr>
          <w:rFonts w:ascii="Times New Roman" w:hAnsi="Times New Roman" w:cs="Times New Roman"/>
          <w:sz w:val="24"/>
          <w:szCs w:val="24"/>
        </w:rPr>
        <w:t xml:space="preserve">(2), e1001975. </w:t>
      </w:r>
    </w:p>
    <w:p w14:paraId="53FCF49A" w14:textId="77777777" w:rsidR="00A952C7" w:rsidRPr="00061FBB" w:rsidRDefault="00A952C7" w:rsidP="004B77CB">
      <w:pPr>
        <w:numPr>
          <w:ilvl w:val="0"/>
          <w:numId w:val="2"/>
        </w:numPr>
        <w:spacing w:line="360" w:lineRule="auto"/>
        <w:jc w:val="both"/>
        <w:rPr>
          <w:rFonts w:ascii="Times New Roman" w:hAnsi="Times New Roman" w:cs="Times New Roman"/>
          <w:sz w:val="24"/>
          <w:szCs w:val="24"/>
        </w:rPr>
      </w:pPr>
      <w:r w:rsidRPr="00061FBB">
        <w:rPr>
          <w:rFonts w:ascii="Times New Roman" w:hAnsi="Times New Roman" w:cs="Times New Roman"/>
          <w:sz w:val="24"/>
          <w:szCs w:val="24"/>
        </w:rPr>
        <w:t xml:space="preserve">Ministry of Health and Family Welfare. (2020). </w:t>
      </w:r>
      <w:r w:rsidRPr="00061FBB">
        <w:rPr>
          <w:rFonts w:ascii="Times New Roman" w:hAnsi="Times New Roman" w:cs="Times New Roman"/>
          <w:i/>
          <w:iCs/>
          <w:sz w:val="24"/>
          <w:szCs w:val="24"/>
        </w:rPr>
        <w:t>Rural health statistics India</w:t>
      </w:r>
      <w:r w:rsidRPr="00061FBB">
        <w:rPr>
          <w:rFonts w:ascii="Times New Roman" w:hAnsi="Times New Roman" w:cs="Times New Roman"/>
          <w:sz w:val="24"/>
          <w:szCs w:val="24"/>
        </w:rPr>
        <w:t xml:space="preserve">. </w:t>
      </w:r>
    </w:p>
    <w:p w14:paraId="2A40ACC3" w14:textId="77777777" w:rsidR="00A952C7" w:rsidRPr="00061FBB" w:rsidRDefault="00A952C7" w:rsidP="004B77CB">
      <w:pPr>
        <w:numPr>
          <w:ilvl w:val="0"/>
          <w:numId w:val="2"/>
        </w:numPr>
        <w:spacing w:line="360" w:lineRule="auto"/>
        <w:jc w:val="both"/>
        <w:rPr>
          <w:rFonts w:ascii="Times New Roman" w:hAnsi="Times New Roman" w:cs="Times New Roman"/>
          <w:sz w:val="24"/>
          <w:szCs w:val="24"/>
        </w:rPr>
      </w:pPr>
      <w:r w:rsidRPr="00061FBB">
        <w:rPr>
          <w:rFonts w:ascii="Times New Roman" w:hAnsi="Times New Roman" w:cs="Times New Roman"/>
          <w:sz w:val="24"/>
          <w:szCs w:val="24"/>
        </w:rPr>
        <w:t xml:space="preserve">National Health Mission (India). (2021). </w:t>
      </w:r>
      <w:r w:rsidRPr="00061FBB">
        <w:rPr>
          <w:rFonts w:ascii="Times New Roman" w:hAnsi="Times New Roman" w:cs="Times New Roman"/>
          <w:i/>
          <w:iCs/>
          <w:sz w:val="24"/>
          <w:szCs w:val="24"/>
        </w:rPr>
        <w:t>Reproductive and child health guidelines</w:t>
      </w:r>
      <w:r w:rsidRPr="00061FBB">
        <w:rPr>
          <w:rFonts w:ascii="Times New Roman" w:hAnsi="Times New Roman" w:cs="Times New Roman"/>
          <w:sz w:val="24"/>
          <w:szCs w:val="24"/>
        </w:rPr>
        <w:t xml:space="preserve">. </w:t>
      </w:r>
    </w:p>
    <w:p w14:paraId="0E306F23" w14:textId="77777777" w:rsidR="00A952C7" w:rsidRPr="00061FBB" w:rsidRDefault="00A952C7" w:rsidP="004B77CB">
      <w:pPr>
        <w:numPr>
          <w:ilvl w:val="0"/>
          <w:numId w:val="2"/>
        </w:numPr>
        <w:spacing w:line="360" w:lineRule="auto"/>
        <w:jc w:val="both"/>
        <w:rPr>
          <w:rFonts w:ascii="Times New Roman" w:hAnsi="Times New Roman" w:cs="Times New Roman"/>
          <w:sz w:val="24"/>
          <w:szCs w:val="24"/>
        </w:rPr>
      </w:pPr>
      <w:r w:rsidRPr="00061FBB">
        <w:rPr>
          <w:rFonts w:ascii="Times New Roman" w:hAnsi="Times New Roman" w:cs="Times New Roman"/>
          <w:sz w:val="24"/>
          <w:szCs w:val="24"/>
        </w:rPr>
        <w:t xml:space="preserve">Patel, R., &amp; Shah, P. (2019). Sociocultural determinants of infertility. </w:t>
      </w:r>
      <w:r w:rsidRPr="00061FBB">
        <w:rPr>
          <w:rFonts w:ascii="Times New Roman" w:hAnsi="Times New Roman" w:cs="Times New Roman"/>
          <w:i/>
          <w:iCs/>
          <w:sz w:val="24"/>
          <w:szCs w:val="24"/>
        </w:rPr>
        <w:t>Journal of Family Medicine and Primary Care, 8</w:t>
      </w:r>
      <w:r w:rsidRPr="00061FBB">
        <w:rPr>
          <w:rFonts w:ascii="Times New Roman" w:hAnsi="Times New Roman" w:cs="Times New Roman"/>
          <w:sz w:val="24"/>
          <w:szCs w:val="24"/>
        </w:rPr>
        <w:t xml:space="preserve">(7), 2233–2237. </w:t>
      </w:r>
    </w:p>
    <w:p w14:paraId="73245153" w14:textId="77777777" w:rsidR="00A952C7" w:rsidRPr="00061FBB" w:rsidRDefault="00A952C7" w:rsidP="004B77CB">
      <w:pPr>
        <w:numPr>
          <w:ilvl w:val="0"/>
          <w:numId w:val="2"/>
        </w:numPr>
        <w:spacing w:line="360" w:lineRule="auto"/>
        <w:jc w:val="both"/>
        <w:rPr>
          <w:rFonts w:ascii="Times New Roman" w:hAnsi="Times New Roman" w:cs="Times New Roman"/>
          <w:sz w:val="24"/>
          <w:szCs w:val="24"/>
        </w:rPr>
      </w:pPr>
      <w:r w:rsidRPr="00061FBB">
        <w:rPr>
          <w:rFonts w:ascii="Times New Roman" w:hAnsi="Times New Roman" w:cs="Times New Roman"/>
          <w:sz w:val="24"/>
          <w:szCs w:val="24"/>
        </w:rPr>
        <w:t xml:space="preserve">Perry, H. B., et al. (2017). Community health worker programs. </w:t>
      </w:r>
      <w:r w:rsidRPr="00061FBB">
        <w:rPr>
          <w:rFonts w:ascii="Times New Roman" w:hAnsi="Times New Roman" w:cs="Times New Roman"/>
          <w:i/>
          <w:iCs/>
          <w:sz w:val="24"/>
          <w:szCs w:val="24"/>
        </w:rPr>
        <w:t>Annual Review of Public Health, 38</w:t>
      </w:r>
      <w:r w:rsidRPr="00061FBB">
        <w:rPr>
          <w:rFonts w:ascii="Times New Roman" w:hAnsi="Times New Roman" w:cs="Times New Roman"/>
          <w:sz w:val="24"/>
          <w:szCs w:val="24"/>
        </w:rPr>
        <w:t xml:space="preserve">, 399–421. </w:t>
      </w:r>
    </w:p>
    <w:p w14:paraId="5350E585" w14:textId="77777777" w:rsidR="00A952C7" w:rsidRPr="00061FBB" w:rsidRDefault="00A952C7" w:rsidP="004B77CB">
      <w:pPr>
        <w:numPr>
          <w:ilvl w:val="0"/>
          <w:numId w:val="2"/>
        </w:numPr>
        <w:spacing w:line="360" w:lineRule="auto"/>
        <w:jc w:val="both"/>
        <w:rPr>
          <w:rFonts w:ascii="Times New Roman" w:hAnsi="Times New Roman" w:cs="Times New Roman"/>
          <w:sz w:val="24"/>
          <w:szCs w:val="24"/>
        </w:rPr>
      </w:pPr>
      <w:r w:rsidRPr="00061FBB">
        <w:rPr>
          <w:rFonts w:ascii="Times New Roman" w:hAnsi="Times New Roman" w:cs="Times New Roman"/>
          <w:sz w:val="24"/>
          <w:szCs w:val="24"/>
        </w:rPr>
        <w:t xml:space="preserve">Public Health Reviews. (2019). Community participation in healthcare. </w:t>
      </w:r>
    </w:p>
    <w:p w14:paraId="61820FA2" w14:textId="77777777" w:rsidR="00A952C7" w:rsidRPr="00061FBB" w:rsidRDefault="00A952C7" w:rsidP="004B77CB">
      <w:pPr>
        <w:numPr>
          <w:ilvl w:val="0"/>
          <w:numId w:val="2"/>
        </w:numPr>
        <w:spacing w:line="360" w:lineRule="auto"/>
        <w:jc w:val="both"/>
        <w:rPr>
          <w:rFonts w:ascii="Times New Roman" w:hAnsi="Times New Roman" w:cs="Times New Roman"/>
          <w:sz w:val="24"/>
          <w:szCs w:val="24"/>
        </w:rPr>
      </w:pPr>
      <w:r w:rsidRPr="00061FBB">
        <w:rPr>
          <w:rFonts w:ascii="Times New Roman" w:hAnsi="Times New Roman" w:cs="Times New Roman"/>
          <w:sz w:val="24"/>
          <w:szCs w:val="24"/>
        </w:rPr>
        <w:t xml:space="preserve">Reproductive Health Journal. (2022). Infertility awareness and interventions. </w:t>
      </w:r>
    </w:p>
    <w:p w14:paraId="559E9E68" w14:textId="77777777" w:rsidR="00A952C7" w:rsidRPr="00061FBB" w:rsidRDefault="00A952C7" w:rsidP="004B77CB">
      <w:pPr>
        <w:numPr>
          <w:ilvl w:val="0"/>
          <w:numId w:val="2"/>
        </w:numPr>
        <w:spacing w:line="360" w:lineRule="auto"/>
        <w:jc w:val="both"/>
        <w:rPr>
          <w:rFonts w:ascii="Times New Roman" w:hAnsi="Times New Roman" w:cs="Times New Roman"/>
          <w:sz w:val="24"/>
          <w:szCs w:val="24"/>
        </w:rPr>
      </w:pPr>
      <w:r w:rsidRPr="00061FBB">
        <w:rPr>
          <w:rFonts w:ascii="Times New Roman" w:hAnsi="Times New Roman" w:cs="Times New Roman"/>
          <w:sz w:val="24"/>
          <w:szCs w:val="24"/>
        </w:rPr>
        <w:t xml:space="preserve">Scott, K., et al. (2018). Community health workers’ role in maternal health. </w:t>
      </w:r>
      <w:r w:rsidRPr="00061FBB">
        <w:rPr>
          <w:rFonts w:ascii="Times New Roman" w:hAnsi="Times New Roman" w:cs="Times New Roman"/>
          <w:i/>
          <w:iCs/>
          <w:sz w:val="24"/>
          <w:szCs w:val="24"/>
        </w:rPr>
        <w:t>Global Health Science and Practice, 6</w:t>
      </w:r>
      <w:r w:rsidRPr="00061FBB">
        <w:rPr>
          <w:rFonts w:ascii="Times New Roman" w:hAnsi="Times New Roman" w:cs="Times New Roman"/>
          <w:sz w:val="24"/>
          <w:szCs w:val="24"/>
        </w:rPr>
        <w:t xml:space="preserve">(1), 1–14. </w:t>
      </w:r>
    </w:p>
    <w:p w14:paraId="412FCC7B" w14:textId="77777777" w:rsidR="00A952C7" w:rsidRPr="00061FBB" w:rsidRDefault="00A952C7" w:rsidP="004B77CB">
      <w:pPr>
        <w:numPr>
          <w:ilvl w:val="0"/>
          <w:numId w:val="2"/>
        </w:numPr>
        <w:spacing w:line="360" w:lineRule="auto"/>
        <w:jc w:val="both"/>
        <w:rPr>
          <w:rFonts w:ascii="Times New Roman" w:hAnsi="Times New Roman" w:cs="Times New Roman"/>
          <w:sz w:val="24"/>
          <w:szCs w:val="24"/>
        </w:rPr>
      </w:pPr>
      <w:r w:rsidRPr="00061FBB">
        <w:rPr>
          <w:rFonts w:ascii="Times New Roman" w:hAnsi="Times New Roman" w:cs="Times New Roman"/>
          <w:sz w:val="24"/>
          <w:szCs w:val="24"/>
        </w:rPr>
        <w:t xml:space="preserve">Sharma, R., </w:t>
      </w:r>
      <w:proofErr w:type="spellStart"/>
      <w:r w:rsidRPr="00061FBB">
        <w:rPr>
          <w:rFonts w:ascii="Times New Roman" w:hAnsi="Times New Roman" w:cs="Times New Roman"/>
          <w:sz w:val="24"/>
          <w:szCs w:val="24"/>
        </w:rPr>
        <w:t>Biedenharn</w:t>
      </w:r>
      <w:proofErr w:type="spellEnd"/>
      <w:r w:rsidRPr="00061FBB">
        <w:rPr>
          <w:rFonts w:ascii="Times New Roman" w:hAnsi="Times New Roman" w:cs="Times New Roman"/>
          <w:sz w:val="24"/>
          <w:szCs w:val="24"/>
        </w:rPr>
        <w:t xml:space="preserve">, K. R., </w:t>
      </w:r>
      <w:proofErr w:type="spellStart"/>
      <w:r w:rsidRPr="00061FBB">
        <w:rPr>
          <w:rFonts w:ascii="Times New Roman" w:hAnsi="Times New Roman" w:cs="Times New Roman"/>
          <w:sz w:val="24"/>
          <w:szCs w:val="24"/>
        </w:rPr>
        <w:t>Fedor</w:t>
      </w:r>
      <w:proofErr w:type="spellEnd"/>
      <w:r w:rsidRPr="00061FBB">
        <w:rPr>
          <w:rFonts w:ascii="Times New Roman" w:hAnsi="Times New Roman" w:cs="Times New Roman"/>
          <w:sz w:val="24"/>
          <w:szCs w:val="24"/>
        </w:rPr>
        <w:t xml:space="preserve">, J. M., &amp; Agarwal, A. (2019). Lifestyle factors and reproductive health. </w:t>
      </w:r>
      <w:r w:rsidRPr="00061FBB">
        <w:rPr>
          <w:rFonts w:ascii="Times New Roman" w:hAnsi="Times New Roman" w:cs="Times New Roman"/>
          <w:i/>
          <w:iCs/>
          <w:sz w:val="24"/>
          <w:szCs w:val="24"/>
        </w:rPr>
        <w:t>Reproductive Biology and Endocrinology, 11</w:t>
      </w:r>
      <w:r w:rsidRPr="00061FBB">
        <w:rPr>
          <w:rFonts w:ascii="Times New Roman" w:hAnsi="Times New Roman" w:cs="Times New Roman"/>
          <w:sz w:val="24"/>
          <w:szCs w:val="24"/>
        </w:rPr>
        <w:t xml:space="preserve">, 66. </w:t>
      </w:r>
    </w:p>
    <w:p w14:paraId="61C45636" w14:textId="77777777" w:rsidR="00A952C7" w:rsidRPr="00061FBB" w:rsidRDefault="00A952C7" w:rsidP="004B77CB">
      <w:pPr>
        <w:numPr>
          <w:ilvl w:val="0"/>
          <w:numId w:val="2"/>
        </w:numPr>
        <w:spacing w:line="360" w:lineRule="auto"/>
        <w:jc w:val="both"/>
        <w:rPr>
          <w:rFonts w:ascii="Times New Roman" w:hAnsi="Times New Roman" w:cs="Times New Roman"/>
          <w:sz w:val="24"/>
          <w:szCs w:val="24"/>
        </w:rPr>
      </w:pPr>
      <w:r w:rsidRPr="00061FBB">
        <w:rPr>
          <w:rFonts w:ascii="Times New Roman" w:hAnsi="Times New Roman" w:cs="Times New Roman"/>
          <w:sz w:val="24"/>
          <w:szCs w:val="24"/>
        </w:rPr>
        <w:t xml:space="preserve">Singh, A., et al. (2020). Rural healthcare access and barriers. </w:t>
      </w:r>
      <w:r w:rsidRPr="00061FBB">
        <w:rPr>
          <w:rFonts w:ascii="Times New Roman" w:hAnsi="Times New Roman" w:cs="Times New Roman"/>
          <w:i/>
          <w:iCs/>
          <w:sz w:val="24"/>
          <w:szCs w:val="24"/>
        </w:rPr>
        <w:t>Indian Journal of Community Medicine, 45</w:t>
      </w:r>
      <w:r w:rsidRPr="00061FBB">
        <w:rPr>
          <w:rFonts w:ascii="Times New Roman" w:hAnsi="Times New Roman" w:cs="Times New Roman"/>
          <w:sz w:val="24"/>
          <w:szCs w:val="24"/>
        </w:rPr>
        <w:t xml:space="preserve">(3), 256–261. </w:t>
      </w:r>
    </w:p>
    <w:p w14:paraId="442C330E" w14:textId="77777777" w:rsidR="00A952C7" w:rsidRPr="00061FBB" w:rsidRDefault="00A952C7" w:rsidP="004B77CB">
      <w:pPr>
        <w:numPr>
          <w:ilvl w:val="0"/>
          <w:numId w:val="2"/>
        </w:numPr>
        <w:spacing w:line="360" w:lineRule="auto"/>
        <w:jc w:val="both"/>
        <w:rPr>
          <w:rFonts w:ascii="Times New Roman" w:hAnsi="Times New Roman" w:cs="Times New Roman"/>
          <w:sz w:val="24"/>
          <w:szCs w:val="24"/>
        </w:rPr>
      </w:pPr>
      <w:proofErr w:type="spellStart"/>
      <w:r w:rsidRPr="00061FBB">
        <w:rPr>
          <w:rFonts w:ascii="Times New Roman" w:hAnsi="Times New Roman" w:cs="Times New Roman"/>
          <w:sz w:val="24"/>
          <w:szCs w:val="24"/>
        </w:rPr>
        <w:t>Starrs</w:t>
      </w:r>
      <w:proofErr w:type="spellEnd"/>
      <w:r w:rsidRPr="00061FBB">
        <w:rPr>
          <w:rFonts w:ascii="Times New Roman" w:hAnsi="Times New Roman" w:cs="Times New Roman"/>
          <w:sz w:val="24"/>
          <w:szCs w:val="24"/>
        </w:rPr>
        <w:t xml:space="preserve">, A. M., et al. (2018). Accelerate progress in sexual and reproductive health. </w:t>
      </w:r>
      <w:r w:rsidRPr="00061FBB">
        <w:rPr>
          <w:rFonts w:ascii="Times New Roman" w:hAnsi="Times New Roman" w:cs="Times New Roman"/>
          <w:i/>
          <w:iCs/>
          <w:sz w:val="24"/>
          <w:szCs w:val="24"/>
        </w:rPr>
        <w:t>The Lancet, 391</w:t>
      </w:r>
      <w:r w:rsidRPr="00061FBB">
        <w:rPr>
          <w:rFonts w:ascii="Times New Roman" w:hAnsi="Times New Roman" w:cs="Times New Roman"/>
          <w:sz w:val="24"/>
          <w:szCs w:val="24"/>
        </w:rPr>
        <w:t xml:space="preserve">(10140), 2642–2692. </w:t>
      </w:r>
    </w:p>
    <w:p w14:paraId="6EAF66F7" w14:textId="77777777" w:rsidR="00A952C7" w:rsidRPr="00061FBB" w:rsidRDefault="00A952C7" w:rsidP="004B77CB">
      <w:pPr>
        <w:numPr>
          <w:ilvl w:val="0"/>
          <w:numId w:val="2"/>
        </w:numPr>
        <w:spacing w:line="360" w:lineRule="auto"/>
        <w:jc w:val="both"/>
        <w:rPr>
          <w:rFonts w:ascii="Times New Roman" w:hAnsi="Times New Roman" w:cs="Times New Roman"/>
          <w:sz w:val="24"/>
          <w:szCs w:val="24"/>
        </w:rPr>
      </w:pPr>
      <w:proofErr w:type="spellStart"/>
      <w:r w:rsidRPr="00061FBB">
        <w:rPr>
          <w:rFonts w:ascii="Times New Roman" w:hAnsi="Times New Roman" w:cs="Times New Roman"/>
          <w:sz w:val="24"/>
          <w:szCs w:val="24"/>
        </w:rPr>
        <w:t>Tessema</w:t>
      </w:r>
      <w:proofErr w:type="spellEnd"/>
      <w:r w:rsidRPr="00061FBB">
        <w:rPr>
          <w:rFonts w:ascii="Times New Roman" w:hAnsi="Times New Roman" w:cs="Times New Roman"/>
          <w:sz w:val="24"/>
          <w:szCs w:val="24"/>
        </w:rPr>
        <w:t xml:space="preserve">, Z. T., et al. (2021). Spatial distribution of reproductive health service utilization. </w:t>
      </w:r>
      <w:r w:rsidRPr="00061FBB">
        <w:rPr>
          <w:rFonts w:ascii="Times New Roman" w:hAnsi="Times New Roman" w:cs="Times New Roman"/>
          <w:i/>
          <w:iCs/>
          <w:sz w:val="24"/>
          <w:szCs w:val="24"/>
        </w:rPr>
        <w:t>BMC Public Health, 21</w:t>
      </w:r>
      <w:r w:rsidRPr="00061FBB">
        <w:rPr>
          <w:rFonts w:ascii="Times New Roman" w:hAnsi="Times New Roman" w:cs="Times New Roman"/>
          <w:sz w:val="24"/>
          <w:szCs w:val="24"/>
        </w:rPr>
        <w:t xml:space="preserve">, 1570. </w:t>
      </w:r>
    </w:p>
    <w:p w14:paraId="5A0E0B7D" w14:textId="77777777" w:rsidR="00A952C7" w:rsidRPr="00061FBB" w:rsidRDefault="00A952C7" w:rsidP="004B77CB">
      <w:pPr>
        <w:numPr>
          <w:ilvl w:val="0"/>
          <w:numId w:val="2"/>
        </w:numPr>
        <w:spacing w:line="360" w:lineRule="auto"/>
        <w:jc w:val="both"/>
        <w:rPr>
          <w:rFonts w:ascii="Times New Roman" w:hAnsi="Times New Roman" w:cs="Times New Roman"/>
          <w:sz w:val="24"/>
          <w:szCs w:val="24"/>
        </w:rPr>
      </w:pPr>
      <w:r w:rsidRPr="00061FBB">
        <w:rPr>
          <w:rFonts w:ascii="Times New Roman" w:hAnsi="Times New Roman" w:cs="Times New Roman"/>
          <w:sz w:val="24"/>
          <w:szCs w:val="24"/>
        </w:rPr>
        <w:t xml:space="preserve">The Lancet Global Health. (2020). Health inequalities in rural populations. </w:t>
      </w:r>
    </w:p>
    <w:p w14:paraId="67DB9AB1" w14:textId="77777777" w:rsidR="00A952C7" w:rsidRPr="00061FBB" w:rsidRDefault="00A952C7" w:rsidP="004B77CB">
      <w:pPr>
        <w:numPr>
          <w:ilvl w:val="0"/>
          <w:numId w:val="2"/>
        </w:numPr>
        <w:spacing w:line="360" w:lineRule="auto"/>
        <w:jc w:val="both"/>
        <w:rPr>
          <w:rFonts w:ascii="Times New Roman" w:hAnsi="Times New Roman" w:cs="Times New Roman"/>
          <w:sz w:val="24"/>
          <w:szCs w:val="24"/>
        </w:rPr>
      </w:pPr>
      <w:r w:rsidRPr="00061FBB">
        <w:rPr>
          <w:rFonts w:ascii="Times New Roman" w:hAnsi="Times New Roman" w:cs="Times New Roman"/>
          <w:sz w:val="24"/>
          <w:szCs w:val="24"/>
        </w:rPr>
        <w:t xml:space="preserve">United Nations Population Fund. (2021). </w:t>
      </w:r>
      <w:r w:rsidRPr="00061FBB">
        <w:rPr>
          <w:rFonts w:ascii="Times New Roman" w:hAnsi="Times New Roman" w:cs="Times New Roman"/>
          <w:i/>
          <w:iCs/>
          <w:sz w:val="24"/>
          <w:szCs w:val="24"/>
        </w:rPr>
        <w:t>State of World Population Report</w:t>
      </w:r>
      <w:r w:rsidRPr="00061FBB">
        <w:rPr>
          <w:rFonts w:ascii="Times New Roman" w:hAnsi="Times New Roman" w:cs="Times New Roman"/>
          <w:sz w:val="24"/>
          <w:szCs w:val="24"/>
        </w:rPr>
        <w:t xml:space="preserve">. New York: UNFPA. </w:t>
      </w:r>
    </w:p>
    <w:p w14:paraId="6ECA61CC" w14:textId="77777777" w:rsidR="00A952C7" w:rsidRPr="00061FBB" w:rsidRDefault="00A952C7" w:rsidP="004B77CB">
      <w:pPr>
        <w:numPr>
          <w:ilvl w:val="0"/>
          <w:numId w:val="2"/>
        </w:numPr>
        <w:spacing w:line="360" w:lineRule="auto"/>
        <w:jc w:val="both"/>
        <w:rPr>
          <w:rFonts w:ascii="Times New Roman" w:hAnsi="Times New Roman" w:cs="Times New Roman"/>
          <w:sz w:val="24"/>
          <w:szCs w:val="24"/>
        </w:rPr>
      </w:pPr>
      <w:r w:rsidRPr="00061FBB">
        <w:rPr>
          <w:rFonts w:ascii="Times New Roman" w:hAnsi="Times New Roman" w:cs="Times New Roman"/>
          <w:sz w:val="24"/>
          <w:szCs w:val="24"/>
        </w:rPr>
        <w:t xml:space="preserve">Vander </w:t>
      </w:r>
      <w:proofErr w:type="spellStart"/>
      <w:r w:rsidRPr="00061FBB">
        <w:rPr>
          <w:rFonts w:ascii="Times New Roman" w:hAnsi="Times New Roman" w:cs="Times New Roman"/>
          <w:sz w:val="24"/>
          <w:szCs w:val="24"/>
        </w:rPr>
        <w:t>Borght</w:t>
      </w:r>
      <w:proofErr w:type="spellEnd"/>
      <w:r w:rsidRPr="00061FBB">
        <w:rPr>
          <w:rFonts w:ascii="Times New Roman" w:hAnsi="Times New Roman" w:cs="Times New Roman"/>
          <w:sz w:val="24"/>
          <w:szCs w:val="24"/>
        </w:rPr>
        <w:t xml:space="preserve">, M., &amp; </w:t>
      </w:r>
      <w:proofErr w:type="spellStart"/>
      <w:r w:rsidRPr="00061FBB">
        <w:rPr>
          <w:rFonts w:ascii="Times New Roman" w:hAnsi="Times New Roman" w:cs="Times New Roman"/>
          <w:sz w:val="24"/>
          <w:szCs w:val="24"/>
        </w:rPr>
        <w:t>Wyns</w:t>
      </w:r>
      <w:proofErr w:type="spellEnd"/>
      <w:r w:rsidRPr="00061FBB">
        <w:rPr>
          <w:rFonts w:ascii="Times New Roman" w:hAnsi="Times New Roman" w:cs="Times New Roman"/>
          <w:sz w:val="24"/>
          <w:szCs w:val="24"/>
        </w:rPr>
        <w:t xml:space="preserve">, C. (2018). Fertility and infertility: Definition and epidemiology. </w:t>
      </w:r>
      <w:r w:rsidRPr="00061FBB">
        <w:rPr>
          <w:rFonts w:ascii="Times New Roman" w:hAnsi="Times New Roman" w:cs="Times New Roman"/>
          <w:i/>
          <w:iCs/>
          <w:sz w:val="24"/>
          <w:szCs w:val="24"/>
        </w:rPr>
        <w:t>Clinical Biochemistry, 62</w:t>
      </w:r>
      <w:r w:rsidRPr="00061FBB">
        <w:rPr>
          <w:rFonts w:ascii="Times New Roman" w:hAnsi="Times New Roman" w:cs="Times New Roman"/>
          <w:sz w:val="24"/>
          <w:szCs w:val="24"/>
        </w:rPr>
        <w:t xml:space="preserve">, 2–10. </w:t>
      </w:r>
    </w:p>
    <w:p w14:paraId="6516C5B8" w14:textId="77777777" w:rsidR="00A952C7" w:rsidRPr="00061FBB" w:rsidRDefault="00A952C7" w:rsidP="004B77CB">
      <w:pPr>
        <w:numPr>
          <w:ilvl w:val="0"/>
          <w:numId w:val="2"/>
        </w:numPr>
        <w:spacing w:line="360" w:lineRule="auto"/>
        <w:jc w:val="both"/>
        <w:rPr>
          <w:rFonts w:ascii="Times New Roman" w:hAnsi="Times New Roman" w:cs="Times New Roman"/>
          <w:sz w:val="24"/>
          <w:szCs w:val="24"/>
        </w:rPr>
      </w:pPr>
      <w:r w:rsidRPr="00061FBB">
        <w:rPr>
          <w:rFonts w:ascii="Times New Roman" w:hAnsi="Times New Roman" w:cs="Times New Roman"/>
          <w:sz w:val="24"/>
          <w:szCs w:val="24"/>
        </w:rPr>
        <w:t xml:space="preserve">World Health Organization &amp; HRP. (2022). </w:t>
      </w:r>
      <w:r w:rsidRPr="00061FBB">
        <w:rPr>
          <w:rFonts w:ascii="Times New Roman" w:hAnsi="Times New Roman" w:cs="Times New Roman"/>
          <w:i/>
          <w:iCs/>
          <w:sz w:val="24"/>
          <w:szCs w:val="24"/>
        </w:rPr>
        <w:t>Sexual and reproductive health and research strategy</w:t>
      </w:r>
      <w:r w:rsidRPr="00061FBB">
        <w:rPr>
          <w:rFonts w:ascii="Times New Roman" w:hAnsi="Times New Roman" w:cs="Times New Roman"/>
          <w:sz w:val="24"/>
          <w:szCs w:val="24"/>
        </w:rPr>
        <w:t xml:space="preserve">. Geneva: WHO. </w:t>
      </w:r>
    </w:p>
    <w:p w14:paraId="35AC125D" w14:textId="77777777" w:rsidR="00A952C7" w:rsidRPr="00061FBB" w:rsidRDefault="00A952C7" w:rsidP="004B77CB">
      <w:pPr>
        <w:numPr>
          <w:ilvl w:val="0"/>
          <w:numId w:val="2"/>
        </w:numPr>
        <w:spacing w:line="360" w:lineRule="auto"/>
        <w:jc w:val="both"/>
        <w:rPr>
          <w:rFonts w:ascii="Times New Roman" w:hAnsi="Times New Roman" w:cs="Times New Roman"/>
          <w:sz w:val="24"/>
          <w:szCs w:val="24"/>
        </w:rPr>
      </w:pPr>
      <w:r w:rsidRPr="00061FBB">
        <w:rPr>
          <w:rFonts w:ascii="Times New Roman" w:hAnsi="Times New Roman" w:cs="Times New Roman"/>
          <w:sz w:val="24"/>
          <w:szCs w:val="24"/>
        </w:rPr>
        <w:lastRenderedPageBreak/>
        <w:t xml:space="preserve">World Health Organization. (2019). </w:t>
      </w:r>
      <w:r w:rsidRPr="00061FBB">
        <w:rPr>
          <w:rFonts w:ascii="Times New Roman" w:hAnsi="Times New Roman" w:cs="Times New Roman"/>
          <w:i/>
          <w:iCs/>
          <w:sz w:val="24"/>
          <w:szCs w:val="24"/>
        </w:rPr>
        <w:t>Primary health care on the road to universal health coverage</w:t>
      </w:r>
      <w:r w:rsidRPr="00061FBB">
        <w:rPr>
          <w:rFonts w:ascii="Times New Roman" w:hAnsi="Times New Roman" w:cs="Times New Roman"/>
          <w:sz w:val="24"/>
          <w:szCs w:val="24"/>
        </w:rPr>
        <w:t xml:space="preserve">. Geneva: WHO. </w:t>
      </w:r>
    </w:p>
    <w:p w14:paraId="2549508E" w14:textId="08A4181A" w:rsidR="00A952C7" w:rsidRPr="00061FBB" w:rsidRDefault="00A952C7" w:rsidP="004B77CB">
      <w:pPr>
        <w:numPr>
          <w:ilvl w:val="0"/>
          <w:numId w:val="2"/>
        </w:numPr>
        <w:spacing w:line="360" w:lineRule="auto"/>
        <w:jc w:val="both"/>
        <w:rPr>
          <w:rFonts w:ascii="Times New Roman" w:hAnsi="Times New Roman" w:cs="Times New Roman"/>
          <w:sz w:val="24"/>
          <w:szCs w:val="24"/>
        </w:rPr>
      </w:pPr>
      <w:r w:rsidRPr="00061FBB">
        <w:rPr>
          <w:rFonts w:ascii="Times New Roman" w:hAnsi="Times New Roman" w:cs="Times New Roman"/>
          <w:sz w:val="24"/>
          <w:szCs w:val="24"/>
        </w:rPr>
        <w:t xml:space="preserve">World Health Organization. (2020). </w:t>
      </w:r>
      <w:r w:rsidRPr="00061FBB">
        <w:rPr>
          <w:rFonts w:ascii="Times New Roman" w:hAnsi="Times New Roman" w:cs="Times New Roman"/>
          <w:i/>
          <w:iCs/>
          <w:sz w:val="24"/>
          <w:szCs w:val="24"/>
        </w:rPr>
        <w:t>WHO guidelines on infertility care and management</w:t>
      </w:r>
      <w:r w:rsidRPr="00061FBB">
        <w:rPr>
          <w:rFonts w:ascii="Times New Roman" w:hAnsi="Times New Roman" w:cs="Times New Roman"/>
          <w:sz w:val="24"/>
          <w:szCs w:val="24"/>
        </w:rPr>
        <w:t>. Geneva: WHO.</w:t>
      </w:r>
    </w:p>
    <w:sectPr w:rsidR="00A952C7" w:rsidRPr="00061FBB" w:rsidSect="00FA1264">
      <w:headerReference w:type="even" r:id="rId16"/>
      <w:headerReference w:type="default" r:id="rId17"/>
      <w:footerReference w:type="even" r:id="rId18"/>
      <w:footerReference w:type="default" r:id="rId19"/>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B753A61" w14:textId="77777777" w:rsidR="008B16BA" w:rsidRDefault="008B16BA" w:rsidP="00FA1264">
      <w:pPr>
        <w:spacing w:after="0" w:line="240" w:lineRule="auto"/>
      </w:pPr>
      <w:r>
        <w:separator/>
      </w:r>
    </w:p>
  </w:endnote>
  <w:endnote w:type="continuationSeparator" w:id="0">
    <w:p w14:paraId="28EFAB24" w14:textId="77777777" w:rsidR="008B16BA" w:rsidRDefault="008B16BA" w:rsidP="00FA126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Mangal">
    <w:altName w:val="Courier New"/>
    <w:panose1 w:val="00000400000000000000"/>
    <w:charset w:val="01"/>
    <w:family w:val="roman"/>
    <w:notTrueType/>
    <w:pitch w:val="variable"/>
    <w:sig w:usb0="00002000" w:usb1="00000000" w:usb2="00000000" w:usb3="00000000" w:csb0="00000000" w:csb1="00000000"/>
  </w:font>
  <w:font w:name="Calibri Light">
    <w:panose1 w:val="020F0302020204030204"/>
    <w:charset w:val="00"/>
    <w:family w:val="swiss"/>
    <w:pitch w:val="variable"/>
    <w:sig w:usb0="E4002EFF" w:usb1="C200247B" w:usb2="00000009" w:usb3="00000000" w:csb0="000001FF" w:csb1="00000000"/>
  </w:font>
  <w:font w:name="Helvetica">
    <w:panose1 w:val="020B0604020202020204"/>
    <w:charset w:val="00"/>
    <w:family w:val="swiss"/>
    <w:notTrueType/>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2E4EB5C" w14:textId="77777777" w:rsidR="0045400F" w:rsidRPr="0045400F" w:rsidRDefault="0045400F" w:rsidP="0045400F">
    <w:pPr>
      <w:pStyle w:val="Footer"/>
      <w:jc w:val="center"/>
      <w:rPr>
        <w:rFonts w:ascii="Times New Roman" w:hAnsi="Times New Roman" w:cs="Times New Roman"/>
        <w:sz w:val="16"/>
      </w:rPr>
    </w:pPr>
  </w:p>
  <w:p w14:paraId="53262A6C" w14:textId="77777777" w:rsidR="0045400F" w:rsidRPr="0045400F" w:rsidRDefault="0045400F" w:rsidP="0045400F">
    <w:pPr>
      <w:pStyle w:val="Footer"/>
      <w:rPr>
        <w:rFonts w:ascii="Times New Roman" w:hAnsi="Times New Roman" w:cs="Times New Roman"/>
        <w:b/>
        <w:bCs/>
        <w:sz w:val="16"/>
        <w:szCs w:val="16"/>
      </w:rPr>
    </w:pPr>
    <w:r w:rsidRPr="0045400F">
      <w:rPr>
        <w:rFonts w:ascii="Times New Roman" w:hAnsi="Times New Roman" w:cs="Times New Roman"/>
        <w:noProof/>
        <w:sz w:val="16"/>
        <w:szCs w:val="18"/>
        <w:lang w:val="en-US"/>
      </w:rPr>
      <mc:AlternateContent>
        <mc:Choice Requires="wps">
          <w:drawing>
            <wp:anchor distT="4294967294" distB="4294967294" distL="114300" distR="114300" simplePos="0" relativeHeight="251664384" behindDoc="0" locked="0" layoutInCell="1" allowOverlap="1" wp14:anchorId="10C55FC0" wp14:editId="7EF6F5A1">
              <wp:simplePos x="0" y="0"/>
              <wp:positionH relativeFrom="column">
                <wp:posOffset>-882650</wp:posOffset>
              </wp:positionH>
              <wp:positionV relativeFrom="paragraph">
                <wp:posOffset>107949</wp:posOffset>
              </wp:positionV>
              <wp:extent cx="7920990" cy="0"/>
              <wp:effectExtent l="0" t="0" r="22860" b="19050"/>
              <wp:wrapNone/>
              <wp:docPr id="7" name="Straight Connector 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7920990" cy="0"/>
                      </a:xfrm>
                      <a:prstGeom prst="line">
                        <a:avLst/>
                      </a:prstGeom>
                      <a:noFill/>
                      <a:ln w="19050" cap="flat" cmpd="sng" algn="ctr">
                        <a:solidFill>
                          <a:sysClr val="windowText" lastClr="000000"/>
                        </a:solidFill>
                        <a:prstDash val="solid"/>
                        <a:miter lim="800000"/>
                      </a:ln>
                      <a:effectLst/>
                    </wps:spPr>
                    <wps:bodyPr/>
                  </wps:wsp>
                </a:graphicData>
              </a:graphic>
              <wp14:sizeRelH relativeFrom="margin">
                <wp14:pctWidth>0</wp14:pctWidth>
              </wp14:sizeRelH>
              <wp14:sizeRelV relativeFrom="page">
                <wp14:pctHeight>0</wp14:pctHeight>
              </wp14:sizeRelV>
            </wp:anchor>
          </w:drawing>
        </mc:Choice>
        <mc:Fallback>
          <w:pict>
            <v:line w14:anchorId="02C9833F" id="Straight Connector 7" o:spid="_x0000_s1026" style="position:absolute;z-index:251664384;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margin;mso-height-relative:page" from="-69.5pt,8.5pt" to="554.2pt,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oPxw2gEAAKUDAAAOAAAAZHJzL2Uyb0RvYy54bWysU8Fu2zAMvQ/YPwi6L3YDbGmMOD0k6C7F&#10;FiDdB7CybAuTREHU4uTvRylJl3a3YT4Ikkg+8j09rx6OzoqDjmTQt/JuVkuhvcLO+KGVP54fP91L&#10;QQl8Bxa9buVJk3xYf/ywmkKj5zii7XQUDOKpmUIrx5RCU1WkRu2AZhi052CP0UHiYxyqLsLE6M5W&#10;87r+Uk0YuxBRaSK+3Z6Dcl3w+16r9L3vSSdhW8mzpbLGsr7ktVqvoBkihNGoyxjwD1M4MJ6bvkJt&#10;IYH4Fc1fUM6oiIR9mil0Ffa9UbpwYDZ39Ts2+xGCLlxYHAqvMtH/g1XfDrsoTNfKhRQeHD/RPkUw&#10;w5jEBr1nATGKRdZpCtRw+sbvYmaqjn4fnlD9JI5Vb4L5QOGcduyjy+lMVRyL7qdX3fUxCcWXi+W8&#10;Xi75edQ1VkFzLQyR0leNTuRNK63xWRJo4PBEKbeG5pqSrz0+GmvLs1ovJvbksv6coYHd1VtIvHWB&#10;+ZIfpAA7sG1VigWS0Joul2cgOtHGRnEAdg4brsPpmeeVwgIlDjCJ8mVleIQ3pXmeLdB4Li6hs9Gc&#10;Sex2a1wr72+rrc8ddfHrhdUfDfPuBbvTLl6FZi+UphffZrPdnnl/+3etfwMAAP//AwBQSwMEFAAG&#10;AAgAAAAhAFKuLzDfAAAACwEAAA8AAABkcnMvZG93bnJldi54bWxMT01Lw0AQvRf6H5YRvLWbaKht&#10;zKaoUAQPBauCx012TGKzsyG7SaO/3ike9DTMvDfvI9tOthUj9r5xpCBeRiCQSmcaqhS8vuwWaxA+&#10;aDK6dYQKvtDDNp/PMp0ad6JnHA+hEixCPtUK6hC6VEpf1mi1X7oOibEP11sdeO0raXp9YnHbyqso&#10;WkmrG2KHWnf4UGN5PAyWY9jv3WNzv5n28hOfVuNb8j4UiVKXF9PdLYiAU/gjwzk+/0DOmQo3kPGi&#10;VbCIrzdcJjByw/PMiKN1AqL4vcg8k/875D8AAAD//wMAUEsBAi0AFAAGAAgAAAAhALaDOJL+AAAA&#10;4QEAABMAAAAAAAAAAAAAAAAAAAAAAFtDb250ZW50X1R5cGVzXS54bWxQSwECLQAUAAYACAAAACEA&#10;OP0h/9YAAACUAQAACwAAAAAAAAAAAAAAAAAvAQAAX3JlbHMvLnJlbHNQSwECLQAUAAYACAAAACEA&#10;BaD8cNoBAAClAwAADgAAAAAAAAAAAAAAAAAuAgAAZHJzL2Uyb0RvYy54bWxQSwECLQAUAAYACAAA&#10;ACEAUq4vMN8AAAALAQAADwAAAAAAAAAAAAAAAAA0BAAAZHJzL2Rvd25yZXYueG1sUEsFBgAAAAAE&#10;AAQA8wAAAEAFAAAAAA==&#10;" strokecolor="windowText" strokeweight="1.5pt">
              <v:stroke joinstyle="miter"/>
              <o:lock v:ext="edit" shapetype="f"/>
            </v:line>
          </w:pict>
        </mc:Fallback>
      </mc:AlternateContent>
    </w:r>
  </w:p>
  <w:p w14:paraId="7A3650C4" w14:textId="77777777" w:rsidR="0045400F" w:rsidRPr="0045400F" w:rsidRDefault="0045400F" w:rsidP="0045400F">
    <w:pPr>
      <w:pStyle w:val="Footer"/>
      <w:tabs>
        <w:tab w:val="clear" w:pos="4680"/>
        <w:tab w:val="clear" w:pos="9360"/>
      </w:tabs>
      <w:rPr>
        <w:rFonts w:ascii="Times New Roman" w:hAnsi="Times New Roman" w:cs="Times New Roman"/>
        <w:sz w:val="16"/>
        <w:szCs w:val="16"/>
      </w:rPr>
    </w:pPr>
    <w:hyperlink r:id="rId1" w:history="1">
      <w:proofErr w:type="spellStart"/>
      <w:r w:rsidRPr="0045400F">
        <w:rPr>
          <w:rStyle w:val="Hyperlink"/>
          <w:rFonts w:ascii="Times New Roman" w:hAnsi="Times New Roman" w:cs="Times New Roman"/>
          <w:b/>
          <w:i/>
          <w:color w:val="auto"/>
          <w:sz w:val="16"/>
          <w:szCs w:val="16"/>
        </w:rPr>
        <w:t>Scienxt</w:t>
      </w:r>
      <w:proofErr w:type="spellEnd"/>
    </w:hyperlink>
    <w:r w:rsidRPr="0045400F">
      <w:rPr>
        <w:rStyle w:val="Hyperlink"/>
        <w:rFonts w:ascii="Times New Roman" w:hAnsi="Times New Roman" w:cs="Times New Roman"/>
        <w:b/>
        <w:i/>
        <w:color w:val="auto"/>
        <w:sz w:val="16"/>
        <w:szCs w:val="16"/>
      </w:rPr>
      <w:t xml:space="preserve"> </w:t>
    </w:r>
    <w:proofErr w:type="spellStart"/>
    <w:r w:rsidRPr="0045400F">
      <w:rPr>
        <w:rStyle w:val="Hyperlink"/>
        <w:rFonts w:ascii="Times New Roman" w:hAnsi="Times New Roman" w:cs="Times New Roman"/>
        <w:b/>
        <w:i/>
        <w:color w:val="auto"/>
        <w:sz w:val="16"/>
        <w:szCs w:val="16"/>
      </w:rPr>
      <w:t>Center</w:t>
    </w:r>
    <w:proofErr w:type="spellEnd"/>
    <w:r w:rsidRPr="0045400F">
      <w:rPr>
        <w:rStyle w:val="Hyperlink"/>
        <w:rFonts w:ascii="Times New Roman" w:hAnsi="Times New Roman" w:cs="Times New Roman"/>
        <w:b/>
        <w:i/>
        <w:color w:val="auto"/>
        <w:sz w:val="16"/>
        <w:szCs w:val="16"/>
      </w:rPr>
      <w:t xml:space="preserve"> of Excellence (P) Ltd</w:t>
    </w:r>
    <w:r w:rsidRPr="0045400F">
      <w:rPr>
        <w:rFonts w:ascii="Times New Roman" w:hAnsi="Times New Roman" w:cs="Times New Roman"/>
        <w:b/>
        <w:bCs/>
        <w:sz w:val="16"/>
        <w:szCs w:val="16"/>
      </w:rPr>
      <w:tab/>
      <w:t xml:space="preserve">                                                                                                                                                    ||</w:t>
    </w:r>
    <w:r w:rsidRPr="0045400F">
      <w:rPr>
        <w:rFonts w:ascii="Times New Roman" w:hAnsi="Times New Roman" w:cs="Times New Roman"/>
        <w:b/>
        <w:bCs/>
        <w:sz w:val="16"/>
        <w:szCs w:val="16"/>
      </w:rPr>
      <w:fldChar w:fldCharType="begin"/>
    </w:r>
    <w:r w:rsidRPr="0045400F">
      <w:rPr>
        <w:rFonts w:ascii="Times New Roman" w:hAnsi="Times New Roman" w:cs="Times New Roman"/>
        <w:b/>
        <w:bCs/>
        <w:sz w:val="16"/>
        <w:szCs w:val="16"/>
      </w:rPr>
      <w:instrText xml:space="preserve"> PAGE   \* MERGEFORMAT </w:instrText>
    </w:r>
    <w:r w:rsidRPr="0045400F">
      <w:rPr>
        <w:rFonts w:ascii="Times New Roman" w:hAnsi="Times New Roman" w:cs="Times New Roman"/>
        <w:b/>
        <w:bCs/>
        <w:sz w:val="16"/>
        <w:szCs w:val="16"/>
      </w:rPr>
      <w:fldChar w:fldCharType="separate"/>
    </w:r>
    <w:r w:rsidR="00FB67E1">
      <w:rPr>
        <w:rFonts w:ascii="Times New Roman" w:hAnsi="Times New Roman" w:cs="Times New Roman"/>
        <w:b/>
        <w:bCs/>
        <w:noProof/>
        <w:sz w:val="16"/>
        <w:szCs w:val="16"/>
      </w:rPr>
      <w:t>20</w:t>
    </w:r>
    <w:r w:rsidRPr="0045400F">
      <w:rPr>
        <w:rFonts w:ascii="Times New Roman" w:hAnsi="Times New Roman" w:cs="Times New Roman"/>
        <w:b/>
        <w:bCs/>
        <w:sz w:val="16"/>
        <w:szCs w:val="16"/>
      </w:rPr>
      <w:fldChar w:fldCharType="end"/>
    </w:r>
    <w:r w:rsidRPr="0045400F">
      <w:rPr>
        <w:rFonts w:ascii="Times New Roman" w:hAnsi="Times New Roman" w:cs="Times New Roman"/>
        <w:b/>
        <w:bCs/>
        <w:sz w:val="16"/>
        <w:szCs w:val="16"/>
      </w:rPr>
      <w:t>||</w:t>
    </w:r>
  </w:p>
  <w:p w14:paraId="28ED1D90" w14:textId="77777777" w:rsidR="00FA1264" w:rsidRPr="0045400F" w:rsidRDefault="00FA1264">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909BB6F" w14:textId="77777777" w:rsidR="00FA1264" w:rsidRPr="0036466C" w:rsidRDefault="00FA1264" w:rsidP="00FA1264">
    <w:pPr>
      <w:pStyle w:val="Footer"/>
      <w:jc w:val="center"/>
      <w:rPr>
        <w:rFonts w:ascii="Times New Roman" w:hAnsi="Times New Roman" w:cs="Times New Roman"/>
        <w:sz w:val="16"/>
      </w:rPr>
    </w:pPr>
  </w:p>
  <w:p w14:paraId="3568786D" w14:textId="77777777" w:rsidR="00FA1264" w:rsidRPr="0036466C" w:rsidRDefault="00FA1264" w:rsidP="00FA1264">
    <w:pPr>
      <w:pStyle w:val="Footer"/>
      <w:rPr>
        <w:rFonts w:ascii="Times New Roman" w:hAnsi="Times New Roman" w:cs="Times New Roman"/>
        <w:b/>
        <w:bCs/>
        <w:sz w:val="16"/>
        <w:szCs w:val="16"/>
      </w:rPr>
    </w:pPr>
    <w:r w:rsidRPr="0036466C">
      <w:rPr>
        <w:rFonts w:ascii="Times New Roman" w:hAnsi="Times New Roman" w:cs="Times New Roman"/>
        <w:noProof/>
        <w:sz w:val="16"/>
        <w:szCs w:val="18"/>
        <w:lang w:val="en-US"/>
      </w:rPr>
      <mc:AlternateContent>
        <mc:Choice Requires="wps">
          <w:drawing>
            <wp:anchor distT="4294967294" distB="4294967294" distL="114300" distR="114300" simplePos="0" relativeHeight="251662336" behindDoc="0" locked="0" layoutInCell="1" allowOverlap="1" wp14:anchorId="60F3E97F" wp14:editId="08519750">
              <wp:simplePos x="0" y="0"/>
              <wp:positionH relativeFrom="column">
                <wp:posOffset>-882650</wp:posOffset>
              </wp:positionH>
              <wp:positionV relativeFrom="paragraph">
                <wp:posOffset>107949</wp:posOffset>
              </wp:positionV>
              <wp:extent cx="7920990" cy="0"/>
              <wp:effectExtent l="0" t="0" r="22860" b="19050"/>
              <wp:wrapNone/>
              <wp:docPr id="2026879889" name="Straight Connector 202687988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7920990" cy="0"/>
                      </a:xfrm>
                      <a:prstGeom prst="line">
                        <a:avLst/>
                      </a:prstGeom>
                      <a:noFill/>
                      <a:ln w="19050" cap="flat" cmpd="sng" algn="ctr">
                        <a:solidFill>
                          <a:sysClr val="windowText" lastClr="000000"/>
                        </a:solidFill>
                        <a:prstDash val="solid"/>
                        <a:miter lim="800000"/>
                      </a:ln>
                      <a:effectLst/>
                    </wps:spPr>
                    <wps:bodyPr/>
                  </wps:wsp>
                </a:graphicData>
              </a:graphic>
              <wp14:sizeRelH relativeFrom="margin">
                <wp14:pctWidth>0</wp14:pctWidth>
              </wp14:sizeRelH>
              <wp14:sizeRelV relativeFrom="page">
                <wp14:pctHeight>0</wp14:pctHeight>
              </wp14:sizeRelV>
            </wp:anchor>
          </w:drawing>
        </mc:Choice>
        <mc:Fallback>
          <w:pict>
            <v:line w14:anchorId="5D92FEBF" id="Straight Connector 2026879889" o:spid="_x0000_s1026" style="position:absolute;z-index:251662336;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margin;mso-height-relative:page" from="-69.5pt,8.5pt" to="554.2pt,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Ds0+4wEAALcDAAAOAAAAZHJzL2Uyb0RvYy54bWysU01v2zAMvQ/YfxB0X+waaGsbcXpI0F2K&#10;LUC6H8DKsi1UXxC1OPn3o5SPpdttmA8CJZKPfOTz8ulgNNvLgMrZjt8tSs6kFa5Xduz4j9fnLzVn&#10;GMH2oJ2VHT9K5E+rz5+Ws29l5SanexkYgVhsZ9/xKUbfFgWKSRrAhfPSknNwwUCkaxiLPsBM6EYX&#10;VVk+FLMLvQ9OSER63ZycfJXxh0GK+H0YUEamO069xXyGfL6ls1gtoR0D+EmJcxvwD10YUJaKXqE2&#10;EIH9DOovKKNEcOiGuBDOFG4YlJCZA7G5K/9gs5vAy8yFhoP+Oib8f7Di234bmOo7XpXVQ/3Y1HXD&#10;mQVDu9rFAGqcIls7a2mSLrCbIJrc7LElgLXdhsRdHOzOvzjxjuQrPjjTBf0p7DAEk8KJPDvkTRyv&#10;m5CHyAQ9PjZV2TS0MHHxFdBeEn3A+FU6w5LRca1sGhK0sH/BmEpDewlJz9Y9K63zorVlM6m0Ke8T&#10;NJDeBg2RTONpAmhHzkCPJGQRQ4ZEp1Wf0hMQHnGtA9sDaYkk2Lv5lfrlTANGchCJ/CVNUQsfUlM/&#10;G8DplJxdJ+kZFUn/WpmO17fZ2qaKMiv4zOr3DJP15vrjNlwGTerIRc9KTvK7vZN9+7+tfgEAAP//&#10;AwBQSwMEFAAGAAgAAAAhAFKuLzDfAAAACwEAAA8AAABkcnMvZG93bnJldi54bWxMT01Lw0AQvRf6&#10;H5YRvLWbaKhtzKaoUAQPBauCx012TGKzsyG7SaO/3ike9DTMvDfvI9tOthUj9r5xpCBeRiCQSmca&#10;qhS8vuwWaxA+aDK6dYQKvtDDNp/PMp0ad6JnHA+hEixCPtUK6hC6VEpf1mi1X7oOibEP11sdeO0r&#10;aXp9YnHbyqsoWkmrG2KHWnf4UGN5PAyWY9jv3WNzv5n28hOfVuNb8j4UiVKXF9PdLYiAU/gjwzk+&#10;/0DOmQo3kPGiVbCIrzdcJjByw/PMiKN1AqL4vcg8k/875D8AAAD//wMAUEsBAi0AFAAGAAgAAAAh&#10;ALaDOJL+AAAA4QEAABMAAAAAAAAAAAAAAAAAAAAAAFtDb250ZW50X1R5cGVzXS54bWxQSwECLQAU&#10;AAYACAAAACEAOP0h/9YAAACUAQAACwAAAAAAAAAAAAAAAAAvAQAAX3JlbHMvLnJlbHNQSwECLQAU&#10;AAYACAAAACEABA7NPuMBAAC3AwAADgAAAAAAAAAAAAAAAAAuAgAAZHJzL2Uyb0RvYy54bWxQSwEC&#10;LQAUAAYACAAAACEAUq4vMN8AAAALAQAADwAAAAAAAAAAAAAAAAA9BAAAZHJzL2Rvd25yZXYueG1s&#10;UEsFBgAAAAAEAAQA8wAAAEkFAAAAAA==&#10;" strokecolor="windowText" strokeweight="1.5pt">
              <v:stroke joinstyle="miter"/>
              <o:lock v:ext="edit" shapetype="f"/>
            </v:line>
          </w:pict>
        </mc:Fallback>
      </mc:AlternateContent>
    </w:r>
  </w:p>
  <w:p w14:paraId="03E0C50B" w14:textId="7F54EF77" w:rsidR="00FA1264" w:rsidRPr="0045400F" w:rsidRDefault="00FA1264" w:rsidP="00FA1264">
    <w:pPr>
      <w:pStyle w:val="Footer"/>
      <w:tabs>
        <w:tab w:val="clear" w:pos="4680"/>
        <w:tab w:val="clear" w:pos="9360"/>
      </w:tabs>
      <w:rPr>
        <w:rFonts w:ascii="Times New Roman" w:hAnsi="Times New Roman" w:cs="Times New Roman"/>
        <w:sz w:val="16"/>
        <w:szCs w:val="16"/>
      </w:rPr>
    </w:pPr>
    <w:hyperlink r:id="rId1" w:history="1">
      <w:proofErr w:type="spellStart"/>
      <w:r w:rsidRPr="0045400F">
        <w:rPr>
          <w:rStyle w:val="Hyperlink"/>
          <w:rFonts w:ascii="Times New Roman" w:hAnsi="Times New Roman" w:cs="Times New Roman"/>
          <w:b/>
          <w:i/>
          <w:color w:val="auto"/>
          <w:sz w:val="16"/>
          <w:szCs w:val="16"/>
        </w:rPr>
        <w:t>Scienxt</w:t>
      </w:r>
      <w:proofErr w:type="spellEnd"/>
    </w:hyperlink>
    <w:r w:rsidRPr="0045400F">
      <w:rPr>
        <w:rStyle w:val="Hyperlink"/>
        <w:rFonts w:ascii="Times New Roman" w:hAnsi="Times New Roman" w:cs="Times New Roman"/>
        <w:b/>
        <w:i/>
        <w:color w:val="auto"/>
        <w:sz w:val="16"/>
        <w:szCs w:val="16"/>
      </w:rPr>
      <w:t xml:space="preserve"> </w:t>
    </w:r>
    <w:proofErr w:type="spellStart"/>
    <w:r w:rsidRPr="0045400F">
      <w:rPr>
        <w:rStyle w:val="Hyperlink"/>
        <w:rFonts w:ascii="Times New Roman" w:hAnsi="Times New Roman" w:cs="Times New Roman"/>
        <w:b/>
        <w:i/>
        <w:color w:val="auto"/>
        <w:sz w:val="16"/>
        <w:szCs w:val="16"/>
      </w:rPr>
      <w:t>Center</w:t>
    </w:r>
    <w:proofErr w:type="spellEnd"/>
    <w:r w:rsidRPr="0045400F">
      <w:rPr>
        <w:rStyle w:val="Hyperlink"/>
        <w:rFonts w:ascii="Times New Roman" w:hAnsi="Times New Roman" w:cs="Times New Roman"/>
        <w:b/>
        <w:i/>
        <w:color w:val="auto"/>
        <w:sz w:val="16"/>
        <w:szCs w:val="16"/>
      </w:rPr>
      <w:t xml:space="preserve"> of Excellence (P) Ltd</w:t>
    </w:r>
    <w:r w:rsidRPr="0045400F">
      <w:rPr>
        <w:rFonts w:ascii="Times New Roman" w:hAnsi="Times New Roman" w:cs="Times New Roman"/>
        <w:b/>
        <w:bCs/>
        <w:sz w:val="16"/>
        <w:szCs w:val="16"/>
      </w:rPr>
      <w:tab/>
      <w:t xml:space="preserve">                                                                                                                         </w:t>
    </w:r>
    <w:r w:rsidRPr="0045400F">
      <w:rPr>
        <w:rFonts w:ascii="Times New Roman" w:hAnsi="Times New Roman" w:cs="Times New Roman"/>
        <w:b/>
        <w:bCs/>
        <w:sz w:val="16"/>
        <w:szCs w:val="16"/>
      </w:rPr>
      <w:t xml:space="preserve">                           </w:t>
    </w:r>
    <w:r w:rsidRPr="0045400F">
      <w:rPr>
        <w:rFonts w:ascii="Times New Roman" w:hAnsi="Times New Roman" w:cs="Times New Roman"/>
        <w:b/>
        <w:bCs/>
        <w:sz w:val="16"/>
        <w:szCs w:val="16"/>
      </w:rPr>
      <w:t>||</w:t>
    </w:r>
    <w:r w:rsidRPr="0045400F">
      <w:rPr>
        <w:rFonts w:ascii="Times New Roman" w:hAnsi="Times New Roman" w:cs="Times New Roman"/>
        <w:b/>
        <w:bCs/>
        <w:sz w:val="16"/>
        <w:szCs w:val="16"/>
      </w:rPr>
      <w:fldChar w:fldCharType="begin"/>
    </w:r>
    <w:r w:rsidRPr="0045400F">
      <w:rPr>
        <w:rFonts w:ascii="Times New Roman" w:hAnsi="Times New Roman" w:cs="Times New Roman"/>
        <w:b/>
        <w:bCs/>
        <w:sz w:val="16"/>
        <w:szCs w:val="16"/>
      </w:rPr>
      <w:instrText xml:space="preserve"> PAGE   \* MERGEFORMAT </w:instrText>
    </w:r>
    <w:r w:rsidRPr="0045400F">
      <w:rPr>
        <w:rFonts w:ascii="Times New Roman" w:hAnsi="Times New Roman" w:cs="Times New Roman"/>
        <w:b/>
        <w:bCs/>
        <w:sz w:val="16"/>
        <w:szCs w:val="16"/>
      </w:rPr>
      <w:fldChar w:fldCharType="separate"/>
    </w:r>
    <w:r w:rsidR="00FB67E1">
      <w:rPr>
        <w:rFonts w:ascii="Times New Roman" w:hAnsi="Times New Roman" w:cs="Times New Roman"/>
        <w:b/>
        <w:bCs/>
        <w:noProof/>
        <w:sz w:val="16"/>
        <w:szCs w:val="16"/>
      </w:rPr>
      <w:t>21</w:t>
    </w:r>
    <w:r w:rsidRPr="0045400F">
      <w:rPr>
        <w:rFonts w:ascii="Times New Roman" w:hAnsi="Times New Roman" w:cs="Times New Roman"/>
        <w:b/>
        <w:bCs/>
        <w:sz w:val="16"/>
        <w:szCs w:val="16"/>
      </w:rPr>
      <w:fldChar w:fldCharType="end"/>
    </w:r>
    <w:r w:rsidRPr="0045400F">
      <w:rPr>
        <w:rFonts w:ascii="Times New Roman" w:hAnsi="Times New Roman" w:cs="Times New Roman"/>
        <w:b/>
        <w:bCs/>
        <w:sz w:val="16"/>
        <w:szCs w:val="16"/>
      </w:rPr>
      <w:t>||</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3FB4141" w14:textId="77777777" w:rsidR="008B16BA" w:rsidRDefault="008B16BA" w:rsidP="00FA1264">
      <w:pPr>
        <w:spacing w:after="0" w:line="240" w:lineRule="auto"/>
      </w:pPr>
      <w:r>
        <w:separator/>
      </w:r>
    </w:p>
  </w:footnote>
  <w:footnote w:type="continuationSeparator" w:id="0">
    <w:p w14:paraId="07EF5B1F" w14:textId="77777777" w:rsidR="008B16BA" w:rsidRDefault="008B16BA" w:rsidP="00FA1264">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1931EA3" w14:textId="1F8CD67B" w:rsidR="0045400F" w:rsidRDefault="0045400F" w:rsidP="0045400F">
    <w:pPr>
      <w:pStyle w:val="Header"/>
      <w:ind w:left="-6" w:right="-17" w:hanging="11"/>
      <w:rPr>
        <w:rFonts w:ascii="Times New Roman" w:hAnsi="Times New Roman" w:cs="Times New Roman"/>
        <w:i/>
        <w:iCs/>
        <w:color w:val="000000" w:themeColor="text1"/>
        <w:sz w:val="16"/>
        <w:szCs w:val="14"/>
      </w:rPr>
    </w:pPr>
    <w:r w:rsidRPr="004D7649">
      <w:rPr>
        <w:rFonts w:ascii="Times New Roman" w:hAnsi="Times New Roman" w:cs="Times New Roman"/>
        <w:i/>
        <w:iCs/>
        <w:sz w:val="16"/>
        <w:szCs w:val="16"/>
      </w:rPr>
      <w:t>Volume-</w:t>
    </w:r>
    <w:r>
      <w:rPr>
        <w:rFonts w:ascii="Times New Roman" w:hAnsi="Times New Roman" w:cs="Times New Roman"/>
        <w:i/>
        <w:iCs/>
        <w:sz w:val="16"/>
        <w:szCs w:val="16"/>
      </w:rPr>
      <w:t>4</w:t>
    </w:r>
    <w:r w:rsidRPr="004D7649">
      <w:rPr>
        <w:rFonts w:ascii="Times New Roman" w:hAnsi="Times New Roman" w:cs="Times New Roman"/>
        <w:sz w:val="16"/>
        <w:szCs w:val="16"/>
      </w:rPr>
      <w:t xml:space="preserve">|| </w:t>
    </w:r>
    <w:r w:rsidRPr="004D7649">
      <w:rPr>
        <w:rFonts w:ascii="Times New Roman" w:hAnsi="Times New Roman" w:cs="Times New Roman"/>
        <w:i/>
        <w:iCs/>
        <w:sz w:val="16"/>
        <w:szCs w:val="16"/>
      </w:rPr>
      <w:t>Issue-1</w:t>
    </w:r>
    <w:r w:rsidRPr="004D7649">
      <w:rPr>
        <w:rFonts w:ascii="Times New Roman" w:hAnsi="Times New Roman" w:cs="Times New Roman"/>
        <w:sz w:val="16"/>
        <w:szCs w:val="16"/>
      </w:rPr>
      <w:t>||</w:t>
    </w:r>
    <w:r w:rsidRPr="004D7649">
      <w:rPr>
        <w:rFonts w:ascii="Times New Roman" w:hAnsi="Times New Roman" w:cs="Times New Roman"/>
        <w:i/>
        <w:iCs/>
        <w:sz w:val="16"/>
        <w:szCs w:val="16"/>
      </w:rPr>
      <w:t>2026</w:t>
    </w:r>
    <w:r w:rsidRPr="004D7649">
      <w:rPr>
        <w:rFonts w:ascii="Times New Roman" w:hAnsi="Times New Roman" w:cs="Times New Roman"/>
        <w:sz w:val="16"/>
        <w:szCs w:val="16"/>
      </w:rPr>
      <w:t xml:space="preserve">|| </w:t>
    </w:r>
    <w:r w:rsidRPr="004D7649">
      <w:rPr>
        <w:rFonts w:ascii="Times New Roman" w:hAnsi="Times New Roman" w:cs="Times New Roman"/>
        <w:i/>
        <w:iCs/>
        <w:sz w:val="16"/>
        <w:szCs w:val="16"/>
      </w:rPr>
      <w:t>Jan-Jun</w:t>
    </w:r>
    <w:r w:rsidRPr="004D7649">
      <w:rPr>
        <w:rFonts w:ascii="Times New Roman" w:hAnsi="Times New Roman" w:cs="Times New Roman"/>
        <w:i/>
        <w:iCs/>
        <w:sz w:val="16"/>
        <w:szCs w:val="16"/>
      </w:rPr>
      <w:tab/>
      <w:t xml:space="preserve">                                                                    </w:t>
    </w:r>
    <w:r>
      <w:rPr>
        <w:rFonts w:ascii="Times New Roman" w:hAnsi="Times New Roman" w:cs="Times New Roman"/>
        <w:i/>
        <w:iCs/>
        <w:sz w:val="16"/>
        <w:szCs w:val="16"/>
      </w:rPr>
      <w:t xml:space="preserve">                              </w:t>
    </w:r>
    <w:r>
      <w:rPr>
        <w:rFonts w:ascii="Times New Roman" w:hAnsi="Times New Roman" w:cs="Times New Roman"/>
        <w:i/>
        <w:iCs/>
        <w:sz w:val="16"/>
        <w:szCs w:val="16"/>
      </w:rPr>
      <w:t xml:space="preserve">                                </w:t>
    </w:r>
    <w:r w:rsidRPr="0036466C">
      <w:rPr>
        <w:rFonts w:ascii="Times New Roman" w:hAnsi="Times New Roman" w:cs="Times New Roman"/>
        <w:i/>
        <w:iCs/>
        <w:color w:val="000000" w:themeColor="text1"/>
        <w:sz w:val="16"/>
        <w:szCs w:val="14"/>
      </w:rPr>
      <w:t xml:space="preserve">ISSN: </w:t>
    </w:r>
    <w:r w:rsidRPr="00FA1264">
      <w:rPr>
        <w:rFonts w:ascii="Times New Roman" w:hAnsi="Times New Roman" w:cs="Times New Roman"/>
        <w:i/>
        <w:iCs/>
        <w:color w:val="000000" w:themeColor="text1"/>
        <w:sz w:val="16"/>
        <w:szCs w:val="14"/>
      </w:rPr>
      <w:t>3107-9105</w:t>
    </w:r>
    <w:r>
      <w:rPr>
        <w:rFonts w:ascii="Times New Roman" w:hAnsi="Times New Roman" w:cs="Times New Roman"/>
        <w:i/>
        <w:iCs/>
        <w:color w:val="000000" w:themeColor="text1"/>
        <w:sz w:val="16"/>
        <w:szCs w:val="14"/>
      </w:rPr>
      <w:t>; SJCHN</w:t>
    </w:r>
  </w:p>
  <w:p w14:paraId="3B8A8BDC" w14:textId="5C125DB2" w:rsidR="0045400F" w:rsidRDefault="0045400F" w:rsidP="0045400F">
    <w:pPr>
      <w:pStyle w:val="Header"/>
      <w:ind w:left="-6" w:right="-17" w:hanging="11"/>
    </w:pPr>
    <w:proofErr w:type="spellStart"/>
    <w:r>
      <w:rPr>
        <w:rFonts w:ascii="Times New Roman" w:eastAsia="Times New Roman" w:hAnsi="Times New Roman" w:cs="Times New Roman"/>
        <w:bCs/>
        <w:i/>
        <w:sz w:val="16"/>
        <w:szCs w:val="23"/>
      </w:rPr>
      <w:t>Heera</w:t>
    </w:r>
    <w:proofErr w:type="spellEnd"/>
    <w:r>
      <w:rPr>
        <w:rFonts w:ascii="Times New Roman" w:eastAsia="Times New Roman" w:hAnsi="Times New Roman" w:cs="Times New Roman"/>
        <w:bCs/>
        <w:i/>
        <w:sz w:val="16"/>
        <w:szCs w:val="23"/>
      </w:rPr>
      <w:t xml:space="preserve">    </w:t>
    </w:r>
    <w:r>
      <w:rPr>
        <w:rFonts w:ascii="Times New Roman" w:hAnsi="Times New Roman" w:cs="Times New Roman"/>
        <w:bCs/>
        <w:i/>
        <w:iCs/>
        <w:sz w:val="16"/>
        <w:szCs w:val="14"/>
      </w:rPr>
      <w:t xml:space="preserve">        </w:t>
    </w:r>
    <w:r w:rsidRPr="004D7649">
      <w:rPr>
        <w:rFonts w:ascii="Times New Roman" w:hAnsi="Times New Roman" w:cs="Times New Roman"/>
        <w:bCs/>
        <w:i/>
        <w:sz w:val="16"/>
        <w:szCs w:val="16"/>
      </w:rPr>
      <w:t xml:space="preserve">                                                           </w:t>
    </w:r>
    <w:r>
      <w:rPr>
        <w:rFonts w:ascii="Times New Roman" w:hAnsi="Times New Roman" w:cs="Times New Roman"/>
        <w:bCs/>
        <w:i/>
        <w:sz w:val="16"/>
        <w:szCs w:val="16"/>
      </w:rPr>
      <w:t xml:space="preserve">                                                                                  </w:t>
    </w:r>
    <w:r w:rsidRPr="004F6F17">
      <w:rPr>
        <w:rFonts w:ascii="Times New Roman" w:hAnsi="Times New Roman" w:cs="Times New Roman"/>
        <w:b/>
        <w:bCs/>
        <w:i/>
        <w:sz w:val="16"/>
        <w:szCs w:val="14"/>
      </w:rPr>
      <w:t xml:space="preserve"> </w:t>
    </w:r>
    <w:r w:rsidRPr="00FA1264">
      <w:rPr>
        <w:rFonts w:ascii="Times New Roman" w:hAnsi="Times New Roman" w:cs="Times New Roman"/>
        <w:i/>
        <w:iCs/>
        <w:color w:val="000000" w:themeColor="text1"/>
        <w:sz w:val="16"/>
        <w:szCs w:val="14"/>
      </w:rPr>
      <w:t>Journal of Community Health Nursing</w:t>
    </w:r>
  </w:p>
  <w:p w14:paraId="26252E30" w14:textId="5A7E8FBC" w:rsidR="00FA1264" w:rsidRDefault="0045400F">
    <w:pPr>
      <w:pStyle w:val="Header"/>
    </w:pPr>
    <w:r w:rsidRPr="004F6F17">
      <w:rPr>
        <w:rFonts w:ascii="Times New Roman" w:hAnsi="Times New Roman" w:cs="Times New Roman"/>
        <w:bCs/>
        <w:i/>
        <w:iCs/>
        <w:noProof/>
        <w:sz w:val="16"/>
        <w:szCs w:val="14"/>
        <w:lang w:val="en-US"/>
      </w:rPr>
      <mc:AlternateContent>
        <mc:Choice Requires="wps">
          <w:drawing>
            <wp:anchor distT="4294967294" distB="4294967294" distL="114300" distR="114300" simplePos="0" relativeHeight="251666432" behindDoc="0" locked="0" layoutInCell="1" allowOverlap="1" wp14:anchorId="21F1BED0" wp14:editId="26136840">
              <wp:simplePos x="0" y="0"/>
              <wp:positionH relativeFrom="column">
                <wp:posOffset>-885825</wp:posOffset>
              </wp:positionH>
              <wp:positionV relativeFrom="paragraph">
                <wp:posOffset>191770</wp:posOffset>
              </wp:positionV>
              <wp:extent cx="7920990" cy="0"/>
              <wp:effectExtent l="0" t="0" r="22860" b="19050"/>
              <wp:wrapNone/>
              <wp:docPr id="8" name="Straight Connector 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7920990" cy="0"/>
                      </a:xfrm>
                      <a:prstGeom prst="line">
                        <a:avLst/>
                      </a:prstGeom>
                      <a:noFill/>
                      <a:ln w="19050" cap="flat" cmpd="sng" algn="ctr">
                        <a:solidFill>
                          <a:sysClr val="windowText" lastClr="000000"/>
                        </a:solidFill>
                        <a:prstDash val="solid"/>
                        <a:miter lim="800000"/>
                      </a:ln>
                      <a:effectLst/>
                    </wps:spPr>
                    <wps:bodyPr/>
                  </wps:wsp>
                </a:graphicData>
              </a:graphic>
              <wp14:sizeRelH relativeFrom="margin">
                <wp14:pctWidth>0</wp14:pctWidth>
              </wp14:sizeRelH>
              <wp14:sizeRelV relativeFrom="page">
                <wp14:pctHeight>0</wp14:pctHeight>
              </wp14:sizeRelV>
            </wp:anchor>
          </w:drawing>
        </mc:Choice>
        <mc:Fallback>
          <w:pict>
            <v:line w14:anchorId="59F53696" id="Straight Connector 8" o:spid="_x0000_s1026" style="position:absolute;z-index:251666432;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margin;mso-height-relative:page" from="-69.75pt,15.1pt" to="553.95pt,15.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6JbJ2QEAAKUDAAAOAAAAZHJzL2Uyb0RvYy54bWysU01v2zAMvQ/YfxB0X+wG6NYYcXpI0F2K&#10;LUC6H8DKsi1UEgVRi5N/P0r5WLrdhvkgSKL4yPf4vHw8OCv2OpJB38q7WS2F9go744dW/nh5+vQg&#10;BSXwHVj0upVHTfJx9fHDcgqNnuOIttNRMIinZgqtHFMKTVWRGrUDmmHQnoM9RgeJj3GouggToztb&#10;zev6czVh7EJEpYn4dnMKylXB73ut0ve+J52EbSX3lsoay/qa12q1hGaIEEajzm3AP3ThwHgueoXa&#10;QALxM5q/oJxREQn7NFPoKux7o3ThwGzu6j/Y7EYIunBhcShcZaL/B6u+7bdRmK6VPCgPjke0SxHM&#10;MCaxRu9ZQIziIes0BWr4+dpvY2aqDn4XnlG9Eceqd8F8oHB6duijy8+ZqjgU3Y9X3fUhCcWXXxbz&#10;erHg8ahLrILmkhgipa8ancibVlrjsyTQwP6ZUi4NzeVJvvb4ZKwtY7VeTOzJRX2foYHd1VtIvHWB&#10;+ZIfpAA7sG1VigWS0Joup2cgOtLaRrEHdg4brsPphfuVwgIlDjCJ8mVluIV3qbmfDdB4Si6hk9Gc&#10;Sex2axzLfZttfa6oi1/PrH5rmHev2B238SI0e6EUPfs2m+32zPvbv2v1CwAA//8DAFBLAwQUAAYA&#10;CAAAACEAxvN0lOEAAAALAQAADwAAAGRycy9kb3ducmV2LnhtbEyPTU/DMAyG75P4D5GRuG1J9wUt&#10;TSdAmpA4IDE2iWPamLZb41RN2hV+PZk4wNH249eP081oGjZg52pLEqKZAIZUWF1TKWH/vp3eAXNe&#10;kVaNJZTwhQ422dUkVYm2Z3rDYedLFkLIJUpC5X2bcO6KCo1yM9sihdmn7YzyoexKrjt1DuGm4XMh&#10;1tyomsKFSrX4VGFx2vUmaJjv7XP9GI+v/Igv6+Gw/OjzpZQ31+PDPTCPo/+D4aIfdiALTrntSTvW&#10;SJhGi3gVWAkLMQd2ISJxGwPLfzs8S/n/H7IfAAAA//8DAFBLAQItABQABgAIAAAAIQC2gziS/gAA&#10;AOEBAAATAAAAAAAAAAAAAAAAAAAAAABbQ29udGVudF9UeXBlc10ueG1sUEsBAi0AFAAGAAgAAAAh&#10;ADj9If/WAAAAlAEAAAsAAAAAAAAAAAAAAAAALwEAAF9yZWxzLy5yZWxzUEsBAi0AFAAGAAgAAAAh&#10;AFvolsnZAQAApQMAAA4AAAAAAAAAAAAAAAAALgIAAGRycy9lMm9Eb2MueG1sUEsBAi0AFAAGAAgA&#10;AAAhAMbzdJThAAAACwEAAA8AAAAAAAAAAAAAAAAAMwQAAGRycy9kb3ducmV2LnhtbFBLBQYAAAAA&#10;BAAEAPMAAABBBQAAAAA=&#10;" strokecolor="windowText" strokeweight="1.5pt">
              <v:stroke joinstyle="miter"/>
              <o:lock v:ext="edit" shapetype="f"/>
            </v:line>
          </w:pict>
        </mc:Fallback>
      </mc:AlternateConten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203B92A" w14:textId="5A7CA06B" w:rsidR="00FA1264" w:rsidRPr="004D7649" w:rsidRDefault="00FA1264" w:rsidP="00FA1264">
    <w:pPr>
      <w:shd w:val="clear" w:color="auto" w:fill="FFFFFF"/>
      <w:spacing w:line="240" w:lineRule="auto"/>
      <w:jc w:val="right"/>
      <w:rPr>
        <w:rFonts w:ascii="Times New Roman" w:hAnsi="Times New Roman" w:cs="Times New Roman"/>
        <w:bCs/>
        <w:i/>
        <w:sz w:val="16"/>
        <w:szCs w:val="14"/>
      </w:rPr>
    </w:pPr>
    <w:r w:rsidRPr="004D7649">
      <w:rPr>
        <w:rFonts w:ascii="Times New Roman" w:hAnsi="Times New Roman" w:cs="Times New Roman"/>
        <w:i/>
        <w:iCs/>
        <w:noProof/>
        <w:sz w:val="16"/>
        <w:szCs w:val="16"/>
        <w:lang w:val="en-US"/>
      </w:rPr>
      <w:drawing>
        <wp:anchor distT="0" distB="0" distL="114300" distR="114300" simplePos="0" relativeHeight="251660288" behindDoc="0" locked="0" layoutInCell="1" allowOverlap="1" wp14:anchorId="64E198CB" wp14:editId="3DAF9916">
          <wp:simplePos x="0" y="0"/>
          <wp:positionH relativeFrom="column">
            <wp:posOffset>42545</wp:posOffset>
          </wp:positionH>
          <wp:positionV relativeFrom="paragraph">
            <wp:posOffset>-133350</wp:posOffset>
          </wp:positionV>
          <wp:extent cx="990600" cy="372110"/>
          <wp:effectExtent l="0" t="0" r="0" b="8890"/>
          <wp:wrapThrough wrapText="bothSides">
            <wp:wrapPolygon edited="0">
              <wp:start x="0" y="0"/>
              <wp:lineTo x="0" y="11058"/>
              <wp:lineTo x="1662" y="19904"/>
              <wp:lineTo x="1662" y="21010"/>
              <wp:lineTo x="20354" y="21010"/>
              <wp:lineTo x="21185" y="11058"/>
              <wp:lineTo x="18692" y="8846"/>
              <wp:lineTo x="4154" y="0"/>
              <wp:lineTo x="0" y="0"/>
            </wp:wrapPolygon>
          </wp:wrapThrough>
          <wp:docPr id="6" name="Picture 6" descr="Scienx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Scienxt"/>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90600" cy="37211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imes New Roman" w:hAnsi="Times New Roman" w:cs="Times New Roman"/>
        <w:i/>
        <w:iCs/>
        <w:sz w:val="16"/>
        <w:szCs w:val="14"/>
      </w:rPr>
      <w:t xml:space="preserve"> </w:t>
    </w:r>
    <w:r w:rsidRPr="004D7649">
      <w:rPr>
        <w:rFonts w:ascii="Times New Roman" w:hAnsi="Times New Roman" w:cs="Times New Roman"/>
        <w:i/>
        <w:iCs/>
        <w:sz w:val="16"/>
        <w:szCs w:val="14"/>
      </w:rPr>
      <w:t xml:space="preserve">         </w:t>
    </w:r>
    <w:r w:rsidRPr="0036466C">
      <w:rPr>
        <w:rFonts w:ascii="Times New Roman" w:hAnsi="Times New Roman" w:cs="Times New Roman"/>
        <w:i/>
        <w:iCs/>
        <w:color w:val="000000" w:themeColor="text1"/>
        <w:sz w:val="16"/>
        <w:szCs w:val="14"/>
      </w:rPr>
      <w:t xml:space="preserve">ISSN: </w:t>
    </w:r>
    <w:r w:rsidRPr="00FA1264">
      <w:rPr>
        <w:rFonts w:ascii="Times New Roman" w:hAnsi="Times New Roman" w:cs="Times New Roman"/>
        <w:i/>
        <w:iCs/>
        <w:color w:val="000000" w:themeColor="text1"/>
        <w:sz w:val="16"/>
        <w:szCs w:val="14"/>
      </w:rPr>
      <w:t>3107-9105</w:t>
    </w:r>
    <w:r>
      <w:rPr>
        <w:rFonts w:ascii="Times New Roman" w:hAnsi="Times New Roman" w:cs="Times New Roman"/>
        <w:i/>
        <w:iCs/>
        <w:color w:val="000000" w:themeColor="text1"/>
        <w:sz w:val="16"/>
        <w:szCs w:val="14"/>
      </w:rPr>
      <w:t>; SJ</w:t>
    </w:r>
    <w:r>
      <w:rPr>
        <w:rFonts w:ascii="Times New Roman" w:hAnsi="Times New Roman" w:cs="Times New Roman"/>
        <w:i/>
        <w:iCs/>
        <w:color w:val="000000" w:themeColor="text1"/>
        <w:sz w:val="16"/>
        <w:szCs w:val="14"/>
      </w:rPr>
      <w:t>CHN</w:t>
    </w:r>
  </w:p>
  <w:p w14:paraId="1FCFF902" w14:textId="39226E61" w:rsidR="00FA1264" w:rsidRDefault="00FA1264" w:rsidP="00FA1264">
    <w:pPr>
      <w:pStyle w:val="Header"/>
      <w:ind w:left="-6" w:right="-17" w:hanging="11"/>
    </w:pPr>
    <w:r w:rsidRPr="004F6F17">
      <w:rPr>
        <w:rFonts w:ascii="Times New Roman" w:hAnsi="Times New Roman" w:cs="Times New Roman"/>
        <w:i/>
        <w:noProof/>
        <w:sz w:val="16"/>
        <w:szCs w:val="16"/>
        <w:lang w:val="en-US"/>
      </w:rPr>
      <mc:AlternateContent>
        <mc:Choice Requires="wps">
          <w:drawing>
            <wp:anchor distT="4294967294" distB="4294967294" distL="114300" distR="114300" simplePos="0" relativeHeight="251659264" behindDoc="0" locked="0" layoutInCell="1" allowOverlap="1" wp14:anchorId="1490A5B4" wp14:editId="0C31B386">
              <wp:simplePos x="0" y="0"/>
              <wp:positionH relativeFrom="column">
                <wp:posOffset>-1012190</wp:posOffset>
              </wp:positionH>
              <wp:positionV relativeFrom="paragraph">
                <wp:posOffset>173761</wp:posOffset>
              </wp:positionV>
              <wp:extent cx="8105242" cy="0"/>
              <wp:effectExtent l="0" t="0" r="29210" b="19050"/>
              <wp:wrapNone/>
              <wp:docPr id="1308906606" name="Straight Connector 130890660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8105242" cy="0"/>
                      </a:xfrm>
                      <a:prstGeom prst="line">
                        <a:avLst/>
                      </a:prstGeom>
                      <a:noFill/>
                      <a:ln w="19050" cap="flat" cmpd="sng" algn="ctr">
                        <a:solidFill>
                          <a:sysClr val="windowText" lastClr="000000"/>
                        </a:solidFill>
                        <a:prstDash val="solid"/>
                        <a:miter lim="800000"/>
                      </a:ln>
                      <a:effectLst/>
                    </wps:spPr>
                    <wps:bodyPr/>
                  </wps:wsp>
                </a:graphicData>
              </a:graphic>
              <wp14:sizeRelH relativeFrom="margin">
                <wp14:pctWidth>0</wp14:pctWidth>
              </wp14:sizeRelH>
              <wp14:sizeRelV relativeFrom="page">
                <wp14:pctHeight>0</wp14:pctHeight>
              </wp14:sizeRelV>
            </wp:anchor>
          </w:drawing>
        </mc:Choice>
        <mc:Fallback>
          <w:pict>
            <v:line w14:anchorId="3605022C" id="Straight Connector 1308906606" o:spid="_x0000_s1026" style="position:absolute;z-index:251659264;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margin;mso-height-relative:page" from="-79.7pt,13.7pt" to="558.5pt,13.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n/IC4wEAALcDAAAOAAAAZHJzL2Uyb0RvYy54bWysU01v2zAMvQ/YfxB0X+xka5AacXpI0F2K&#10;LUC6H8DKki1UXxC1OPn3o5SPptttqA8CJZKPfOTz8uFgDdvLiNq7lk8nNWfSCd9p17f81/PjlwVn&#10;mMB1YLyTLT9K5A+rz5+WY2jkzA/edDIyAnHYjKHlQ0qhqSoUg7SAEx+kI6fy0UKia+yrLsJI6NZU&#10;s7qeV6OPXYheSER63ZycfFXwlZIi/VQKZWKm5dRbKmcs50s+q9USmj5CGLQ4twH/0YUF7ajoFWoD&#10;CdjvqP+BslpEj16lifC28kppIQsHYjOt/2KzGyDIwoWGg+E6Jvw4WPFjv41Md7S7r/Xivp7P6zln&#10;Diztapci6H5IbO2do0n6yG6CaHJjwIYA1m4bM3dxcLvw5MUrkq9658wXDKewg4o2hxN5diibOF43&#10;IQ+JCXpcTOu72bcZZ+Liq6C5JIaI6bv0lmWj5Ua7PCRoYP+EKZeG5hKSn51/1MaURRvHRmJ6X9+R&#10;FgSQ3pSBRKYNNAF0PWdgehKySLFAoje6y+kZCI+4NpHtgbREEuz8+Ez9cmYAEzmIRPmypqiFd6m5&#10;nw3gcEourpP0rE6kf6Mtcb7NNi5XlEXBZ1ZvM8zWi++O23gZNKmjFD0rOcvv9k727f+2+gMAAP//&#10;AwBQSwMEFAAGAAgAAAAhACFU3VvhAAAACwEAAA8AAABkcnMvZG93bnJldi54bWxMj09PwzAMxe9I&#10;fIfISNy2tFPZn9J0AqQJiQPSBpM4po1pC41TNWlX+PR44gAny/bz8+9l28m2YsTeN44UxPMIBFLp&#10;TEOVgteX3WwNwgdNRreOUMEXetjmlxeZTo070R7HQ6gEm5BPtYI6hC6V0pc1Wu3nrkPi3bvrrQ7c&#10;9pU0vT6xuW3lIoqW0uqG+EOtO3yosfw8DJYx7PfusbnfTM/yA5+W4zF5G4pEqeur6e4WRMAp/Inh&#10;jM83kDNT4QYyXrQKZvHNJmGtgsWK61kRxyuOV/xOZJ7J/xnyHwAAAP//AwBQSwECLQAUAAYACAAA&#10;ACEAtoM4kv4AAADhAQAAEwAAAAAAAAAAAAAAAAAAAAAAW0NvbnRlbnRfVHlwZXNdLnhtbFBLAQIt&#10;ABQABgAIAAAAIQA4/SH/1gAAAJQBAAALAAAAAAAAAAAAAAAAAC8BAABfcmVscy8ucmVsc1BLAQIt&#10;ABQABgAIAAAAIQBMn/IC4wEAALcDAAAOAAAAAAAAAAAAAAAAAC4CAABkcnMvZTJvRG9jLnhtbFBL&#10;AQItABQABgAIAAAAIQAhVN1b4QAAAAsBAAAPAAAAAAAAAAAAAAAAAD0EAABkcnMvZG93bnJldi54&#10;bWxQSwUGAAAAAAQABADzAAAASwUAAAAA&#10;" strokecolor="windowText" strokeweight="1.5pt">
              <v:stroke joinstyle="miter"/>
              <o:lock v:ext="edit" shapetype="f"/>
            </v:line>
          </w:pict>
        </mc:Fallback>
      </mc:AlternateContent>
    </w:r>
    <w:r w:rsidRPr="004F6F17">
      <w:rPr>
        <w:rFonts w:ascii="Times New Roman" w:hAnsi="Times New Roman" w:cs="Times New Roman"/>
        <w:b/>
        <w:bCs/>
        <w:sz w:val="16"/>
        <w:szCs w:val="14"/>
      </w:rPr>
      <w:t xml:space="preserve">                                                                  </w:t>
    </w:r>
    <w:r>
      <w:rPr>
        <w:rFonts w:ascii="Times New Roman" w:hAnsi="Times New Roman" w:cs="Times New Roman"/>
        <w:b/>
        <w:bCs/>
        <w:sz w:val="16"/>
        <w:szCs w:val="14"/>
      </w:rPr>
      <w:t xml:space="preserve">            </w:t>
    </w:r>
    <w:r>
      <w:rPr>
        <w:rFonts w:ascii="Times New Roman" w:hAnsi="Times New Roman" w:cs="Times New Roman"/>
        <w:b/>
        <w:bCs/>
        <w:sz w:val="16"/>
        <w:szCs w:val="14"/>
      </w:rPr>
      <w:t xml:space="preserve">  </w:t>
    </w:r>
    <w:r>
      <w:rPr>
        <w:rFonts w:ascii="Times New Roman" w:hAnsi="Times New Roman" w:cs="Times New Roman"/>
        <w:b/>
        <w:bCs/>
        <w:sz w:val="16"/>
        <w:szCs w:val="14"/>
      </w:rPr>
      <w:t xml:space="preserve">                                        </w:t>
    </w:r>
    <w:r w:rsidRPr="004F6F17">
      <w:rPr>
        <w:rFonts w:ascii="Times New Roman" w:hAnsi="Times New Roman" w:cs="Times New Roman"/>
        <w:b/>
        <w:bCs/>
        <w:i/>
        <w:sz w:val="16"/>
        <w:szCs w:val="14"/>
      </w:rPr>
      <w:t xml:space="preserve"> </w:t>
    </w:r>
    <w:r w:rsidRPr="00FA1264">
      <w:rPr>
        <w:rFonts w:ascii="Times New Roman" w:hAnsi="Times New Roman" w:cs="Times New Roman"/>
        <w:i/>
        <w:iCs/>
        <w:color w:val="000000" w:themeColor="text1"/>
        <w:sz w:val="16"/>
        <w:szCs w:val="14"/>
      </w:rPr>
      <w:t>Journal of Community Health Nursing</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10B47CD2"/>
    <w:multiLevelType w:val="multilevel"/>
    <w:tmpl w:val="B6A2F92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nsid w:val="411D4384"/>
    <w:multiLevelType w:val="multilevel"/>
    <w:tmpl w:val="C6EAAF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0"/>
  <w:proofState w:spelling="clean" w:grammar="clean"/>
  <w:defaultTabStop w:val="720"/>
  <w:evenAndOddHeaders/>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05D94"/>
    <w:rsid w:val="00026B57"/>
    <w:rsid w:val="000575C5"/>
    <w:rsid w:val="00061FBB"/>
    <w:rsid w:val="000B4A3F"/>
    <w:rsid w:val="0010259B"/>
    <w:rsid w:val="00121EBB"/>
    <w:rsid w:val="0045400F"/>
    <w:rsid w:val="004B77CB"/>
    <w:rsid w:val="00500FA5"/>
    <w:rsid w:val="00505D94"/>
    <w:rsid w:val="005B6DB9"/>
    <w:rsid w:val="005F2666"/>
    <w:rsid w:val="00875F0B"/>
    <w:rsid w:val="008B16BA"/>
    <w:rsid w:val="008B2B9A"/>
    <w:rsid w:val="00A952C7"/>
    <w:rsid w:val="00B86B08"/>
    <w:rsid w:val="00C43ED9"/>
    <w:rsid w:val="00D32F3F"/>
    <w:rsid w:val="00D735AD"/>
    <w:rsid w:val="00E65189"/>
    <w:rsid w:val="00E71A95"/>
    <w:rsid w:val="00F13528"/>
    <w:rsid w:val="00FA1264"/>
    <w:rsid w:val="00FB67E1"/>
  </w:rsids>
  <m:mathPr>
    <m:mathFont m:val="Cambria Math"/>
    <m:brkBin m:val="before"/>
    <m:brkBinSub m:val="--"/>
    <m:smallFrac m:val="0"/>
    <m:dispDef/>
    <m:lMargin m:val="0"/>
    <m:rMargin m:val="0"/>
    <m:defJc m:val="centerGroup"/>
    <m:wrapIndent m:val="1440"/>
    <m:intLim m:val="subSup"/>
    <m:naryLim m:val="undOvr"/>
  </m:mathPr>
  <w:themeFontLang w:val="en-IN" w:bidi="hi-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85F8375"/>
  <w15:chartTrackingRefBased/>
  <w15:docId w15:val="{926076D2-F074-43A9-929B-02C8A0D73B7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kern w:val="2"/>
        <w:sz w:val="22"/>
        <w:szCs w:val="22"/>
        <w:lang w:val="en-IN" w:eastAsia="en-US" w:bidi="ar-SA"/>
        <w14:ligatures w14:val="standardContextual"/>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uiPriority w:val="9"/>
    <w:qFormat/>
    <w:rsid w:val="00505D94"/>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Heading2">
    <w:name w:val="heading 2"/>
    <w:basedOn w:val="Normal"/>
    <w:next w:val="Normal"/>
    <w:link w:val="Heading2Char"/>
    <w:uiPriority w:val="9"/>
    <w:semiHidden/>
    <w:unhideWhenUsed/>
    <w:qFormat/>
    <w:rsid w:val="00505D94"/>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Heading3">
    <w:name w:val="heading 3"/>
    <w:basedOn w:val="Normal"/>
    <w:next w:val="Normal"/>
    <w:link w:val="Heading3Char"/>
    <w:uiPriority w:val="9"/>
    <w:semiHidden/>
    <w:unhideWhenUsed/>
    <w:qFormat/>
    <w:rsid w:val="00505D94"/>
    <w:pPr>
      <w:keepNext/>
      <w:keepLines/>
      <w:spacing w:before="160" w:after="80"/>
      <w:outlineLvl w:val="2"/>
    </w:pPr>
    <w:rPr>
      <w:rFonts w:eastAsiaTheme="majorEastAsia" w:cstheme="majorBidi"/>
      <w:color w:val="2F5496" w:themeColor="accent1" w:themeShade="BF"/>
      <w:sz w:val="28"/>
      <w:szCs w:val="28"/>
    </w:rPr>
  </w:style>
  <w:style w:type="paragraph" w:styleId="Heading4">
    <w:name w:val="heading 4"/>
    <w:basedOn w:val="Normal"/>
    <w:next w:val="Normal"/>
    <w:link w:val="Heading4Char"/>
    <w:uiPriority w:val="9"/>
    <w:semiHidden/>
    <w:unhideWhenUsed/>
    <w:qFormat/>
    <w:rsid w:val="00505D94"/>
    <w:pPr>
      <w:keepNext/>
      <w:keepLines/>
      <w:spacing w:before="80" w:after="40"/>
      <w:outlineLvl w:val="3"/>
    </w:pPr>
    <w:rPr>
      <w:rFonts w:eastAsiaTheme="majorEastAsia" w:cstheme="majorBidi"/>
      <w:i/>
      <w:iCs/>
      <w:color w:val="2F5496" w:themeColor="accent1" w:themeShade="BF"/>
    </w:rPr>
  </w:style>
  <w:style w:type="paragraph" w:styleId="Heading5">
    <w:name w:val="heading 5"/>
    <w:basedOn w:val="Normal"/>
    <w:next w:val="Normal"/>
    <w:link w:val="Heading5Char"/>
    <w:uiPriority w:val="9"/>
    <w:semiHidden/>
    <w:unhideWhenUsed/>
    <w:qFormat/>
    <w:rsid w:val="00505D94"/>
    <w:pPr>
      <w:keepNext/>
      <w:keepLines/>
      <w:spacing w:before="80" w:after="40"/>
      <w:outlineLvl w:val="4"/>
    </w:pPr>
    <w:rPr>
      <w:rFonts w:eastAsiaTheme="majorEastAsia" w:cstheme="majorBidi"/>
      <w:color w:val="2F5496" w:themeColor="accent1" w:themeShade="BF"/>
    </w:rPr>
  </w:style>
  <w:style w:type="paragraph" w:styleId="Heading6">
    <w:name w:val="heading 6"/>
    <w:basedOn w:val="Normal"/>
    <w:next w:val="Normal"/>
    <w:link w:val="Heading6Char"/>
    <w:uiPriority w:val="9"/>
    <w:semiHidden/>
    <w:unhideWhenUsed/>
    <w:qFormat/>
    <w:rsid w:val="00505D94"/>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505D94"/>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505D94"/>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505D94"/>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505D94"/>
    <w:rPr>
      <w:rFonts w:asciiTheme="majorHAnsi" w:eastAsiaTheme="majorEastAsia" w:hAnsiTheme="majorHAnsi" w:cstheme="majorBidi"/>
      <w:color w:val="2F5496" w:themeColor="accent1" w:themeShade="BF"/>
      <w:sz w:val="40"/>
      <w:szCs w:val="40"/>
    </w:rPr>
  </w:style>
  <w:style w:type="character" w:customStyle="1" w:styleId="Heading2Char">
    <w:name w:val="Heading 2 Char"/>
    <w:basedOn w:val="DefaultParagraphFont"/>
    <w:link w:val="Heading2"/>
    <w:uiPriority w:val="9"/>
    <w:semiHidden/>
    <w:rsid w:val="00505D94"/>
    <w:rPr>
      <w:rFonts w:asciiTheme="majorHAnsi" w:eastAsiaTheme="majorEastAsia" w:hAnsiTheme="majorHAnsi" w:cstheme="majorBidi"/>
      <w:color w:val="2F5496" w:themeColor="accent1" w:themeShade="BF"/>
      <w:sz w:val="32"/>
      <w:szCs w:val="32"/>
    </w:rPr>
  </w:style>
  <w:style w:type="character" w:customStyle="1" w:styleId="Heading3Char">
    <w:name w:val="Heading 3 Char"/>
    <w:basedOn w:val="DefaultParagraphFont"/>
    <w:link w:val="Heading3"/>
    <w:uiPriority w:val="9"/>
    <w:semiHidden/>
    <w:rsid w:val="00505D94"/>
    <w:rPr>
      <w:rFonts w:eastAsiaTheme="majorEastAsia" w:cstheme="majorBidi"/>
      <w:color w:val="2F5496" w:themeColor="accent1" w:themeShade="BF"/>
      <w:sz w:val="28"/>
      <w:szCs w:val="28"/>
    </w:rPr>
  </w:style>
  <w:style w:type="character" w:customStyle="1" w:styleId="Heading4Char">
    <w:name w:val="Heading 4 Char"/>
    <w:basedOn w:val="DefaultParagraphFont"/>
    <w:link w:val="Heading4"/>
    <w:uiPriority w:val="9"/>
    <w:semiHidden/>
    <w:rsid w:val="00505D94"/>
    <w:rPr>
      <w:rFonts w:eastAsiaTheme="majorEastAsia" w:cstheme="majorBidi"/>
      <w:i/>
      <w:iCs/>
      <w:color w:val="2F5496" w:themeColor="accent1" w:themeShade="BF"/>
    </w:rPr>
  </w:style>
  <w:style w:type="character" w:customStyle="1" w:styleId="Heading5Char">
    <w:name w:val="Heading 5 Char"/>
    <w:basedOn w:val="DefaultParagraphFont"/>
    <w:link w:val="Heading5"/>
    <w:uiPriority w:val="9"/>
    <w:semiHidden/>
    <w:rsid w:val="00505D94"/>
    <w:rPr>
      <w:rFonts w:eastAsiaTheme="majorEastAsia" w:cstheme="majorBidi"/>
      <w:color w:val="2F5496" w:themeColor="accent1" w:themeShade="BF"/>
    </w:rPr>
  </w:style>
  <w:style w:type="character" w:customStyle="1" w:styleId="Heading6Char">
    <w:name w:val="Heading 6 Char"/>
    <w:basedOn w:val="DefaultParagraphFont"/>
    <w:link w:val="Heading6"/>
    <w:uiPriority w:val="9"/>
    <w:semiHidden/>
    <w:rsid w:val="00505D94"/>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505D94"/>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505D94"/>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505D94"/>
    <w:rPr>
      <w:rFonts w:eastAsiaTheme="majorEastAsia" w:cstheme="majorBidi"/>
      <w:color w:val="272727" w:themeColor="text1" w:themeTint="D8"/>
    </w:rPr>
  </w:style>
  <w:style w:type="paragraph" w:styleId="Title">
    <w:name w:val="Title"/>
    <w:basedOn w:val="Normal"/>
    <w:next w:val="Normal"/>
    <w:link w:val="TitleChar"/>
    <w:uiPriority w:val="10"/>
    <w:qFormat/>
    <w:rsid w:val="00505D94"/>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505D94"/>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505D94"/>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505D94"/>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505D94"/>
    <w:pPr>
      <w:spacing w:before="160"/>
      <w:jc w:val="center"/>
    </w:pPr>
    <w:rPr>
      <w:i/>
      <w:iCs/>
      <w:color w:val="404040" w:themeColor="text1" w:themeTint="BF"/>
    </w:rPr>
  </w:style>
  <w:style w:type="character" w:customStyle="1" w:styleId="QuoteChar">
    <w:name w:val="Quote Char"/>
    <w:basedOn w:val="DefaultParagraphFont"/>
    <w:link w:val="Quote"/>
    <w:uiPriority w:val="29"/>
    <w:rsid w:val="00505D94"/>
    <w:rPr>
      <w:i/>
      <w:iCs/>
      <w:color w:val="404040" w:themeColor="text1" w:themeTint="BF"/>
    </w:rPr>
  </w:style>
  <w:style w:type="paragraph" w:styleId="ListParagraph">
    <w:name w:val="List Paragraph"/>
    <w:basedOn w:val="Normal"/>
    <w:uiPriority w:val="34"/>
    <w:qFormat/>
    <w:rsid w:val="00505D94"/>
    <w:pPr>
      <w:ind w:left="720"/>
      <w:contextualSpacing/>
    </w:pPr>
  </w:style>
  <w:style w:type="character" w:styleId="IntenseEmphasis">
    <w:name w:val="Intense Emphasis"/>
    <w:basedOn w:val="DefaultParagraphFont"/>
    <w:uiPriority w:val="21"/>
    <w:qFormat/>
    <w:rsid w:val="00505D94"/>
    <w:rPr>
      <w:i/>
      <w:iCs/>
      <w:color w:val="2F5496" w:themeColor="accent1" w:themeShade="BF"/>
    </w:rPr>
  </w:style>
  <w:style w:type="paragraph" w:styleId="IntenseQuote">
    <w:name w:val="Intense Quote"/>
    <w:basedOn w:val="Normal"/>
    <w:next w:val="Normal"/>
    <w:link w:val="IntenseQuoteChar"/>
    <w:uiPriority w:val="30"/>
    <w:qFormat/>
    <w:rsid w:val="00505D94"/>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ntenseQuoteChar">
    <w:name w:val="Intense Quote Char"/>
    <w:basedOn w:val="DefaultParagraphFont"/>
    <w:link w:val="IntenseQuote"/>
    <w:uiPriority w:val="30"/>
    <w:rsid w:val="00505D94"/>
    <w:rPr>
      <w:i/>
      <w:iCs/>
      <w:color w:val="2F5496" w:themeColor="accent1" w:themeShade="BF"/>
    </w:rPr>
  </w:style>
  <w:style w:type="character" w:styleId="IntenseReference">
    <w:name w:val="Intense Reference"/>
    <w:basedOn w:val="DefaultParagraphFont"/>
    <w:uiPriority w:val="32"/>
    <w:qFormat/>
    <w:rsid w:val="00505D94"/>
    <w:rPr>
      <w:b/>
      <w:bCs/>
      <w:smallCaps/>
      <w:color w:val="2F5496" w:themeColor="accent1" w:themeShade="BF"/>
      <w:spacing w:val="5"/>
    </w:rPr>
  </w:style>
  <w:style w:type="table" w:styleId="TableGrid">
    <w:name w:val="Table Grid"/>
    <w:basedOn w:val="TableNormal"/>
    <w:uiPriority w:val="39"/>
    <w:rsid w:val="00505D9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semiHidden/>
    <w:unhideWhenUsed/>
    <w:rsid w:val="008B2B9A"/>
    <w:rPr>
      <w:rFonts w:ascii="Times New Roman" w:hAnsi="Times New Roman" w:cs="Times New Roman"/>
      <w:sz w:val="24"/>
      <w:szCs w:val="24"/>
    </w:rPr>
  </w:style>
  <w:style w:type="paragraph" w:styleId="Header">
    <w:name w:val="header"/>
    <w:basedOn w:val="Normal"/>
    <w:link w:val="HeaderChar"/>
    <w:uiPriority w:val="99"/>
    <w:unhideWhenUsed/>
    <w:rsid w:val="00FA1264"/>
    <w:pPr>
      <w:tabs>
        <w:tab w:val="center" w:pos="4680"/>
        <w:tab w:val="right" w:pos="9360"/>
      </w:tabs>
      <w:spacing w:after="0" w:line="240" w:lineRule="auto"/>
    </w:pPr>
  </w:style>
  <w:style w:type="character" w:customStyle="1" w:styleId="HeaderChar">
    <w:name w:val="Header Char"/>
    <w:basedOn w:val="DefaultParagraphFont"/>
    <w:link w:val="Header"/>
    <w:uiPriority w:val="99"/>
    <w:rsid w:val="00FA1264"/>
  </w:style>
  <w:style w:type="paragraph" w:styleId="Footer">
    <w:name w:val="footer"/>
    <w:aliases w:val="Footing"/>
    <w:basedOn w:val="Normal"/>
    <w:link w:val="FooterChar"/>
    <w:uiPriority w:val="99"/>
    <w:unhideWhenUsed/>
    <w:qFormat/>
    <w:rsid w:val="00FA1264"/>
    <w:pPr>
      <w:tabs>
        <w:tab w:val="center" w:pos="4680"/>
        <w:tab w:val="right" w:pos="9360"/>
      </w:tabs>
      <w:spacing w:after="0" w:line="240" w:lineRule="auto"/>
    </w:pPr>
  </w:style>
  <w:style w:type="character" w:customStyle="1" w:styleId="FooterChar">
    <w:name w:val="Footer Char"/>
    <w:aliases w:val="Footing Char"/>
    <w:basedOn w:val="DefaultParagraphFont"/>
    <w:link w:val="Footer"/>
    <w:uiPriority w:val="99"/>
    <w:qFormat/>
    <w:rsid w:val="00FA1264"/>
  </w:style>
  <w:style w:type="character" w:styleId="Hyperlink">
    <w:name w:val="Hyperlink"/>
    <w:basedOn w:val="DefaultParagraphFont"/>
    <w:uiPriority w:val="99"/>
    <w:unhideWhenUsed/>
    <w:rsid w:val="00FA1264"/>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footer" Target="footer1.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header" Target="header1.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footer" Target="footer2.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_rels/footer1.xml.rels><?xml version="1.0" encoding="UTF-8" standalone="yes"?>
<Relationships xmlns="http://schemas.openxmlformats.org/package/2006/relationships"><Relationship Id="rId1" Type="http://schemas.openxmlformats.org/officeDocument/2006/relationships/hyperlink" Target="https://scienxt.com/" TargetMode="External"/></Relationships>
</file>

<file path=word/_rels/footer2.xml.rels><?xml version="1.0" encoding="UTF-8" standalone="yes"?>
<Relationships xmlns="http://schemas.openxmlformats.org/package/2006/relationships"><Relationship Id="rId1" Type="http://schemas.openxmlformats.org/officeDocument/2006/relationships/hyperlink" Target="https://scienxt.com/" TargetMode="External"/></Relationships>
</file>

<file path=word/_rels/header2.xml.rels><?xml version="1.0" encoding="UTF-8" standalone="yes"?>
<Relationships xmlns="http://schemas.openxmlformats.org/package/2006/relationships"><Relationship Id="rId1" Type="http://schemas.openxmlformats.org/officeDocument/2006/relationships/image" Target="media/image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2385143-F606-4C2E-9C26-231DACC7D42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22</Pages>
  <Words>6641</Words>
  <Characters>37857</Characters>
  <Application>Microsoft Office Word</Application>
  <DocSecurity>0</DocSecurity>
  <Lines>315</Lines>
  <Paragraphs>88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44410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Shruti Mittal</dc:creator>
  <cp:keywords/>
  <dc:description/>
  <cp:lastModifiedBy>Admin</cp:lastModifiedBy>
  <cp:revision>3</cp:revision>
  <dcterms:created xsi:type="dcterms:W3CDTF">2026-04-28T09:02:00Z</dcterms:created>
  <dcterms:modified xsi:type="dcterms:W3CDTF">2026-04-28T09:03:00Z</dcterms:modified>
</cp:coreProperties>
</file>